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6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КОНТРОЛЬНО-СЧЕТНАЯ КОМИССИЯ ГОРОДА КАНСКА</w:t>
      </w:r>
    </w:p>
    <w:p>
      <w:pPr>
        <w:pStyle w:val="Normal"/>
        <w:pBdr>
          <w:top w:val="double" w:sz="6" w:space="1" w:color="000000"/>
        </w:pBdr>
        <w:spacing w:before="0" w:after="120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Утверждаю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Председатель Контрольно-счетной 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комиссии города Канска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Е.В.  Парфенова                                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«____»___________________2023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ЗАКЛЮЧЕНИЕ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 результатам внешней проверки годовой бюджетной отчетности Управление строительства и жилищно-коммунального хозяйства администрации города Канска за 2022 год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widowControl w:val="false"/>
        <w:tabs>
          <w:tab w:val="clear" w:pos="4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Внешняя проверка бюджетной отчетности Управления строительства и жилищно-коммунального хозяйства администрации города Канска проведена Контрольно-счетной комиссией города Канска, камеральным методом в рамках требований стандарта внешнего муниципального финансового контроля «Порядок проведения внешней проверки годового отчета об исполнении бюджета города Канска», утвержденного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распоряжением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председателя Контрольно-счетной комиссией города Канска 20.10.2015 №22.</w:t>
      </w:r>
    </w:p>
    <w:p>
      <w:pPr>
        <w:pStyle w:val="Normal"/>
        <w:widowControl w:val="false"/>
        <w:tabs>
          <w:tab w:val="clear" w:pos="408"/>
          <w:tab w:val="left" w:pos="993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  <w:r>
        <w:rPr>
          <w:rFonts w:ascii="Times New Roman" w:hAnsi="Times New Roman"/>
          <w:sz w:val="28"/>
          <w:szCs w:val="28"/>
        </w:rPr>
        <w:t xml:space="preserve"> статья 264.4 Бюджетного кодекса Российской Федерации, пункт 4 статьи 44 Положения о бюджетном процессе в городе Канске</w:t>
      </w:r>
      <w:r>
        <w:rPr>
          <w:rFonts w:ascii="Times New Roman" w:hAnsi="Times New Roman"/>
          <w:b w:val="false"/>
          <w:bCs w:val="false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1.</w:t>
      </w:r>
      <w:r>
        <w:rPr>
          <w:rFonts w:eastAsia="Calibri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sz w:val="28"/>
          <w:szCs w:val="28"/>
        </w:rPr>
        <w:t xml:space="preserve"> плана работы Контрольно-счетной комиссии города Канска на 2023 год.</w:t>
      </w:r>
    </w:p>
    <w:p>
      <w:pPr>
        <w:pStyle w:val="ListParagraph"/>
        <w:widowControl w:val="false"/>
        <w:tabs>
          <w:tab w:val="clear" w:pos="408"/>
          <w:tab w:val="left" w:pos="993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 xml:space="preserve">Объект проверки: </w:t>
      </w:r>
      <w:r>
        <w:rPr>
          <w:rFonts w:ascii="Times New Roman" w:hAnsi="Times New Roman"/>
          <w:sz w:val="28"/>
          <w:szCs w:val="28"/>
        </w:rPr>
        <w:t>главный администратор средств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бюджета, главный распорядитель бюджетных средств </w:t>
      </w:r>
      <w:bookmarkStart w:id="0" w:name="__DdeLink__987_2547975378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Управление строительства и жилищно-коммунального хозяйства администрации города Канска</w:t>
      </w:r>
      <w:bookmarkEnd w:id="0"/>
      <w:r>
        <w:rPr>
          <w:rFonts w:ascii="Times New Roman" w:hAnsi="Times New Roman"/>
          <w:sz w:val="28"/>
          <w:szCs w:val="28"/>
        </w:rPr>
        <w:t xml:space="preserve"> (далее – УС и ЖКХ).</w:t>
      </w:r>
    </w:p>
    <w:p>
      <w:pPr>
        <w:pStyle w:val="ListParagraph"/>
        <w:widowControl w:val="false"/>
        <w:tabs>
          <w:tab w:val="clear" w:pos="408"/>
          <w:tab w:val="left" w:pos="993" w:leader="none"/>
        </w:tabs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проверки:</w:t>
      </w:r>
      <w:r>
        <w:rPr>
          <w:rFonts w:ascii="Times New Roman" w:hAnsi="Times New Roman"/>
          <w:sz w:val="28"/>
          <w:szCs w:val="28"/>
        </w:rPr>
        <w:t xml:space="preserve"> контроль за достоверностью, полнотой и соответствием нормативным требованиям, составления и представления бюджетной отчетности, проводимый на основе информации содержащейся в бюджетной отчетности.</w:t>
      </w:r>
    </w:p>
    <w:p>
      <w:pPr>
        <w:pStyle w:val="ListParagraph"/>
        <w:widowControl w:val="false"/>
        <w:tabs>
          <w:tab w:val="clear" w:pos="408"/>
          <w:tab w:val="left" w:pos="993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>Форма проверки: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" w:name="__DdeLink__296_8727265"/>
      <w:r>
        <w:rPr>
          <w:rFonts w:ascii="Times New Roman" w:hAnsi="Times New Roman"/>
          <w:sz w:val="28"/>
          <w:szCs w:val="28"/>
        </w:rPr>
        <w:t>экспертно-аналитическое мероприятие</w:t>
      </w:r>
      <w:bookmarkEnd w:id="1"/>
      <w:r>
        <w:rPr>
          <w:rFonts w:ascii="Times New Roman" w:hAnsi="Times New Roman"/>
          <w:sz w:val="28"/>
          <w:szCs w:val="28"/>
        </w:rPr>
        <w:t>.</w:t>
      </w:r>
    </w:p>
    <w:p>
      <w:pPr>
        <w:pStyle w:val="ListParagraph"/>
        <w:widowControl w:val="false"/>
        <w:tabs>
          <w:tab w:val="clear" w:pos="408"/>
          <w:tab w:val="left" w:pos="993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/>
          <w:sz w:val="28"/>
          <w:szCs w:val="28"/>
        </w:rPr>
        <w:t xml:space="preserve"> 2022 год.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результате проверки бюджетной отчетности за 2022 год установлено следующее.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Бюджетная отчетность УС и ЖКХ за 2022 год предоставлена в финансовое управление администрации города Канска 23.01.2023 года, что соответствует срокам ее предоставления, установленным финансовым управлением администрации города Канска.</w:t>
      </w:r>
      <w:r>
        <w:rPr>
          <w:rStyle w:val="Style18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2"/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lang w:eastAsia="ru-RU"/>
        </w:rPr>
        <w:t xml:space="preserve"> Бюджетная отчетность за 2022 год предоставлена в Контрольно-счетную комиссию 28.02.2023 года. В соответствии с п.4 ст.44 Положения о бюджетном процессе срок предоставления годовой бюджетной отчетности главных администраторов бюджетных средств для проведения внешней проверки не указан.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Ведение бюджетного учета УС и ЖКХ в 2022 году осуществлялось бухгалтером, состоящим в штате подведомственного учреждения МКУ «Служба заказчика» на основании заключенного договора на бухгалтерское обслуживание от 29.12.2013 № 51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Ведение бухгалтерского и налогового учета МБУ «Содержание объектов благоустройства и озеленения» осуществляет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МКУ «Служба заказчика» на основании заключенного договора на бухгалтерское обслуживание от 31.08.2020 № 1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Организация бюджетного учета осуществляется на основе приказа «Об учетной политике». Для автоматизированного ведения бухгалтерского учета применяется программа «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1С: Предприятие 8.3» конфигурация «Бухгалтерия государственного учреждения», редакция 2.0 Начисление заработной платы ведется в программе «1С8: Зарплата и кадры </w:t>
      </w:r>
      <w:r>
        <w:rPr>
          <w:rFonts w:eastAsia="Times New Roman" w:cs="Times New Roman" w:ascii="Times New Roman" w:hAnsi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бюджетного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 учреждения».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Состав бюджетной отчетности соответствует составу бюджетной отчетности, утвержденной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по тексту – Инструкция № 191н).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Согласно п. 1 Инструкции № 191н ГРБС, наиболее значимые учреждения науки, образования, культуры и здравоохранения, указанные в ведомственной структуре расходов соответствующего бюджета составляют и предоставляют годовую, квартальную и месячную отчетность об исполнении бюджетов бюджетной системы Российской Федерации (далее бюджетная отчетность) по формам согласно приложению к настоящей Инструкции. 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Решением Канского городского Совета депутатов от 21.12.2021                               № 11-102 «О бюджете города Канска на 2022 год и плановый период 2023 – 2024 годов», УС и ЖКХ администрации г. Канска отражено в ведомственной структуре расходов городского бюджета как главный распорядитель бюджетных средств.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Таким образом, в состав бюджетной отчетности  УС и ЖКХ администрации г. Канска включаются формы бюджетной отчетности, указанные в п. 11.1 Инструкции № 191н.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Для проведения внешней проверки бюджетная отчетность УС и ЖКХ  предоставлена в Контрольно-счетную комиссию г. Канска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single"/>
          <w:lang w:eastAsia="ru-RU"/>
        </w:rPr>
        <w:t>не в полном объеме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, а именно не предоста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влено: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- Сведения об исполнении текстовых статей закона (решения) о бюджете (Таблица № 3) — п. 155 Инструкции № 191н.</w:t>
      </w:r>
    </w:p>
    <w:p>
      <w:pPr>
        <w:pStyle w:val="Normal"/>
        <w:spacing w:lineRule="auto" w:line="276" w:before="0" w:after="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Информация в таблице характеризует результаты анализа исполнения текстовых статей закона (решения) о бюджете, имеющих отношение к деятельности субъекта бюджетной отчетности,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средств.</w:t>
      </w:r>
    </w:p>
    <w:p>
      <w:pPr>
        <w:pStyle w:val="Normal"/>
        <w:spacing w:lineRule="auto" w:line="276"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(состав) разделов и порядок заполнения Пояснительной записки (ф. 0503160) приведены в п. 151 – 174 Инструкции № 191н. 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При анализе пояснительной записки к годовой отчетности по ф.0503160, включая необходимые приложения и таблицы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single"/>
        </w:rPr>
        <w:t>(кроме таблицы №3 и пояснений к ней)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, установлено, что текстовая часть пояснительной записки разделена на предусмотренные разделы с 1 по 5 (п. 152 Инструкции № 191н), содержание разделов отражено в полном объеме, что обеспечивает необходимую информативность предусмотренных показателей и прозрачность бюджетной отчетности</w:t>
      </w:r>
      <w:r>
        <w:rPr>
          <w:rFonts w:eastAsia="Calibri" w:cs="Times New Roman" w:ascii="Times New Roman" w:hAnsi="Times New Roman" w:eastAsiaTheme="minorHAnsi"/>
          <w:b w:val="false"/>
          <w:i w:val="false"/>
          <w:strike w:val="false"/>
          <w:dstrike w:val="false"/>
          <w:color w:val="000000"/>
          <w:sz w:val="28"/>
          <w:szCs w:val="28"/>
          <w:u w:val="none"/>
          <w:lang w:eastAsia="en-US"/>
        </w:rPr>
        <w:t>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06.12.2011 № 402               «О бухгалтерском учете» и п. 7 Инструкции № 191н для исполнения обязанности проведения инвентаризации материальных активов и обязательств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УС и ЖКХ администрации г. Канска создана постоянно действующая комиссия, которой была проведена инвентаризация, расхождений по результатам не выявлено.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П. 8 Инструкции № 191н, 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информация о чем подлежит отражению в пояснительной записке к бюджетной отчетности за отчетный период.  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В пояснительной записке к отчетности, не составлялись, в связи с отсутствием числовых показателей в отчете, следующие формы годовой бюджетной отчетности за 2022 год: 0503166, 0503167, 0503172, 0503174, таблицы 1, 6.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408"/>
          <w:tab w:val="left" w:pos="709" w:leader="none"/>
        </w:tabs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Согласно Сведений об исполнении судебных решений по денежным обязательствам бюджета (ф. 0503296) в 2022 году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lang w:eastAsia="ru-RU"/>
        </w:rPr>
        <w:t>УС и ЖКХ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за счет средств городского бюджета были оплачены исполнительные листы на общую сумму </w:t>
      </w:r>
      <w:bookmarkStart w:id="2" w:name="__DdeLink__1677_2027727631"/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bookmarkEnd w:id="2"/>
      <w:r>
        <w:rPr>
          <w:rFonts w:cs="Times New Roman" w:ascii="Times New Roman" w:hAnsi="Times New Roman"/>
          <w:b/>
          <w:bCs/>
          <w:sz w:val="28"/>
          <w:szCs w:val="28"/>
        </w:rPr>
        <w:t>9 859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>,00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рублей, из них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>:</w:t>
      </w:r>
    </w:p>
    <w:p>
      <w:pPr>
        <w:pStyle w:val="Normal"/>
        <w:tabs>
          <w:tab w:val="clear" w:pos="408"/>
          <w:tab w:val="left" w:pos="709" w:leader="none"/>
        </w:tabs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>- уплата задолженности по содержанию сетей уличного и внутриквартирного освещения по исполнительному листу ФС №039069174 от 30.09.2022 года перед МУП «Канский Электросетьсбыт» по муниципальному контракту №0119300006220000115 от 07.10.2020 года «На выполнение работ по содержанию сетей и внутриквартального освещения на территории г. Канска в 2021-2022 гг.» на сумму 8 173 148,68 рублей и возмещение расходов по уплате государственной пошлины истцу за рассмотрение дела в суде платежным поручением в сумме  19 160,00 рублей;</w:t>
      </w:r>
    </w:p>
    <w:p>
      <w:pPr>
        <w:pStyle w:val="Normal"/>
        <w:tabs>
          <w:tab w:val="clear" w:pos="408"/>
          <w:tab w:val="left" w:pos="709" w:leader="none"/>
        </w:tabs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>- компенсация морального вреда, возмещение материального ущерба, возмещение судебных расходов по уплате государственной пошлины платежным поручением в сумме 10 699,00 рублей по исполнительному листу ФС № 034610476 от 20.09.2022 года перед Ильковым Владимиром Валентиновичем.</w:t>
      </w:r>
    </w:p>
    <w:p>
      <w:pPr>
        <w:pStyle w:val="Normal"/>
        <w:tabs>
          <w:tab w:val="clear" w:pos="408"/>
          <w:tab w:val="left" w:pos="709" w:leader="none"/>
        </w:tabs>
        <w:spacing w:lineRule="auto" w:line="276"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Оплата расходов по исполнительным листам, является дополнительной нагрузкой на бюджет города и противоречит принципу эффективности использования бюджетных средств, установленному ст. 34 Бюджетного кодекса РФ.</w:t>
      </w:r>
    </w:p>
    <w:p>
      <w:pPr>
        <w:pStyle w:val="Normal"/>
        <w:tabs>
          <w:tab w:val="clear" w:pos="408"/>
          <w:tab w:val="left" w:pos="709" w:leader="none"/>
        </w:tabs>
        <w:spacing w:lineRule="auto" w:line="276" w:before="0" w:after="0"/>
        <w:ind w:firstLine="709"/>
        <w:jc w:val="both"/>
        <w:rPr>
          <w:rFonts w:eastAsia="Times New Roman"/>
          <w:i w:val="false"/>
          <w:i w:val="false"/>
          <w:iCs w:val="false"/>
          <w:color w:val="000000"/>
          <w:lang w:eastAsia="ru-RU"/>
        </w:rPr>
      </w:pPr>
      <w:r>
        <w:rPr>
          <w:rFonts w:eastAsia="Times New Roman"/>
          <w:i w:val="false"/>
          <w:iCs w:val="false"/>
          <w:color w:val="000000"/>
          <w:lang w:eastAsia="ru-RU"/>
        </w:rPr>
      </w:r>
    </w:p>
    <w:p>
      <w:pPr>
        <w:pStyle w:val="Normal"/>
        <w:widowControl w:val="false"/>
        <w:tabs>
          <w:tab w:val="clear" w:pos="408"/>
          <w:tab w:val="left" w:pos="4620" w:leader="none"/>
        </w:tabs>
        <w:spacing w:lineRule="auto" w:line="276" w:before="0" w:after="120"/>
        <w:ind w:left="0" w:right="0" w:firstLine="709"/>
        <w:contextualSpacing/>
        <w:jc w:val="center"/>
        <w:rPr/>
      </w:pPr>
      <w:r>
        <w:rPr>
          <w:rFonts w:ascii="Times New Roman" w:hAnsi="Times New Roman"/>
          <w:b/>
          <w:color w:val="111111"/>
          <w:sz w:val="28"/>
          <w:szCs w:val="28"/>
        </w:rPr>
        <w:t>Оценка исполнения бюджета, соблюдения бюджетного законодательства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111111"/>
          <w:sz w:val="28"/>
          <w:szCs w:val="28"/>
        </w:rPr>
        <w:t xml:space="preserve">Доходная часть исполнена на 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>117,91 %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, план 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>10 278 515,00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 рублей и факт 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 xml:space="preserve">12 119 554,13 </w:t>
      </w:r>
      <w:r>
        <w:rPr>
          <w:rFonts w:cs="Times New Roman" w:ascii="Times New Roman" w:hAnsi="Times New Roman"/>
          <w:color w:val="111111"/>
          <w:sz w:val="28"/>
          <w:szCs w:val="28"/>
        </w:rPr>
        <w:t>рубля (ф. 0503164).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/>
          <w:i w:val="false"/>
          <w:iCs w:val="false"/>
          <w:color w:val="111111"/>
          <w:kern w:val="0"/>
          <w:sz w:val="28"/>
          <w:szCs w:val="28"/>
          <w:lang w:val="ru-RU" w:eastAsia="en-US" w:bidi="ar-SA"/>
        </w:rPr>
        <w:t xml:space="preserve">Перевыполнение плановых </w:t>
      </w:r>
      <w:r>
        <w:rPr>
          <w:rFonts w:eastAsia="Times New Roman" w:cs="Times New Roman" w:ascii="Times New Roman" w:hAnsi="Times New Roman"/>
          <w:i w:val="false"/>
          <w:iCs w:val="false"/>
          <w:color w:val="111111"/>
          <w:sz w:val="28"/>
          <w:szCs w:val="28"/>
          <w:lang w:eastAsia="ru-RU"/>
        </w:rPr>
        <w:t xml:space="preserve">назначений в сумме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111111"/>
          <w:sz w:val="28"/>
          <w:szCs w:val="28"/>
          <w:lang w:eastAsia="ru-RU"/>
        </w:rPr>
        <w:t>1 841 039,13</w:t>
      </w:r>
      <w:r>
        <w:rPr>
          <w:rFonts w:eastAsia="Times New Roman" w:cs="Times New Roman" w:ascii="Times New Roman" w:hAnsi="Times New Roman"/>
          <w:b/>
          <w:i w:val="false"/>
          <w:iCs w:val="false"/>
          <w:color w:val="11111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z w:val="28"/>
          <w:szCs w:val="28"/>
          <w:lang w:eastAsia="ru-RU"/>
        </w:rPr>
        <w:t>рублей</w:t>
      </w:r>
      <w:r>
        <w:rPr>
          <w:rFonts w:eastAsia="Times New Roman" w:cs="Times New Roman" w:ascii="Times New Roman" w:hAnsi="Times New Roman"/>
          <w:b/>
          <w:i w:val="false"/>
          <w:iCs w:val="false"/>
          <w:color w:val="11111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z w:val="28"/>
          <w:szCs w:val="28"/>
          <w:lang w:eastAsia="ru-RU"/>
        </w:rPr>
        <w:t>сложилось за счет того, что фактическое количество обращений за выдачей разрешений меньше запланированных на год. Запланировано было 72, фактически обращений 62. Поступление задолженности за прошлые периоды, а также за счет поступления денежных средств от судебных приставов по исполнительным листам. Поступление денежных средств в связи с оплатой пени по требованию за нарушения условий муниципального контракта.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Решением Канского городского Совета депутатов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111111"/>
          <w:sz w:val="28"/>
          <w:szCs w:val="28"/>
          <w:lang w:eastAsia="ru-RU"/>
        </w:rPr>
        <w:t>от 21.12.2021                          № 11-102 «О бюджете города Канска на 2022 год и плановый период 2023 - 2024 годов»</w:t>
      </w:r>
      <w:r>
        <w:rPr>
          <w:rFonts w:eastAsia="Times New Roman" w:cs="Times New Roman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 xml:space="preserve"> УС и ЖКХ администрации г. Канска с учетом МКУ «Служба заказчика» утверждены бюджетные ассигнования в объеме </w:t>
      </w:r>
      <w:r>
        <w:rPr>
          <w:rFonts w:eastAsia="Times New Roman" w:cs="Times New Roman" w:ascii="Times New Roman" w:hAnsi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396 373 972</w:t>
      </w:r>
      <w:r>
        <w:rPr>
          <w:rFonts w:eastAsia="Times New Roman" w:cs="Times New Roman" w:ascii="Times New Roman" w:hAnsi="Times New Roman"/>
          <w:b/>
          <w:bCs/>
          <w:color w:val="111111"/>
          <w:sz w:val="28"/>
          <w:szCs w:val="28"/>
          <w:lang w:eastAsia="ru-RU"/>
        </w:rPr>
        <w:t>,00</w:t>
      </w:r>
      <w:r>
        <w:rPr>
          <w:rFonts w:eastAsia="Times New Roman" w:cs="Times New Roman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 xml:space="preserve"> рубля. Вследствие корректировок бюджетных назначений план ассигнований увеличился на  </w:t>
      </w:r>
      <w:r>
        <w:rPr>
          <w:rFonts w:eastAsia="Times New Roman" w:cs="Times New Roman" w:ascii="Times New Roman" w:hAnsi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395 344 212,91</w:t>
      </w:r>
      <w:r>
        <w:rPr>
          <w:rFonts w:eastAsia="Times New Roman" w:cs="Times New Roman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 xml:space="preserve"> рублей и составил </w:t>
      </w:r>
      <w:r>
        <w:rPr>
          <w:rFonts w:eastAsia="Times New Roman" w:cs="Times New Roman" w:ascii="Times New Roman" w:hAnsi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791 718 184,91</w:t>
      </w:r>
      <w:r>
        <w:rPr>
          <w:rFonts w:eastAsia="Times New Roman" w:cs="Times New Roman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 xml:space="preserve"> рубля. 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данным Отчета об исполнении бюджета главного распорядителя                   (ф. 0503127) исполнено через финансовый орган </w:t>
      </w:r>
      <w:r>
        <w:rPr>
          <w:rFonts w:cs="Times New Roman" w:ascii="Times New Roman" w:hAnsi="Times New Roman"/>
          <w:b/>
          <w:bCs/>
          <w:sz w:val="28"/>
          <w:szCs w:val="28"/>
        </w:rPr>
        <w:t>771 071 998,99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рублей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или</w:t>
      </w:r>
      <w:r>
        <w:rPr>
          <w:rFonts w:cs="Times New Roman" w:ascii="Times New Roman" w:hAnsi="Times New Roman"/>
          <w:b/>
          <w:sz w:val="28"/>
          <w:szCs w:val="28"/>
        </w:rPr>
        <w:t xml:space="preserve"> 97,39 %</w:t>
      </w:r>
      <w:r>
        <w:rPr>
          <w:rFonts w:cs="Times New Roman" w:ascii="Times New Roman" w:hAnsi="Times New Roman"/>
          <w:sz w:val="28"/>
          <w:szCs w:val="28"/>
        </w:rPr>
        <w:t xml:space="preserve"> от плановых назначений с учетом корректировок. 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>
          <w:color w:val="C9211E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Неисполненные назначения в сумме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20 646 185,92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рублей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том числе: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eastAsia="Calibri" w:cs="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20,00</w:t>
      </w:r>
      <w:r>
        <w:rPr>
          <w:rFonts w:ascii="Times New Roman" w:hAnsi="Times New Roman"/>
          <w:color w:val="000000"/>
          <w:sz w:val="28"/>
          <w:szCs w:val="28"/>
        </w:rPr>
        <w:t xml:space="preserve"> рублей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оплата работ по факту на основании актов выполненных работ (о</w:t>
      </w:r>
      <w:r>
        <w:rPr>
          <w:rFonts w:ascii="Times New Roman" w:hAnsi="Times New Roman"/>
          <w:color w:val="000000"/>
          <w:sz w:val="28"/>
          <w:szCs w:val="28"/>
        </w:rPr>
        <w:t>рганизация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 регулярных перевозок пассажиров и багажа автомобильным транспортом по муниципальным маршрутам по регулируемым тарифам);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eastAsia="Calibri" w:cs="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2 000 000,00</w:t>
      </w:r>
      <w:r>
        <w:rPr>
          <w:rFonts w:ascii="Times New Roman" w:hAnsi="Times New Roman"/>
          <w:color w:val="000000"/>
          <w:sz w:val="28"/>
          <w:szCs w:val="28"/>
        </w:rPr>
        <w:t xml:space="preserve"> рублей </w:t>
      </w:r>
      <w:r>
        <w:rPr>
          <w:rFonts w:eastAsia="Calibri" w:cs="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длительность проведения конкурсных процедур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 (проектная документация за счет средств муниципального дорожного фонда города Канска в рамках подпрограммы «Развитие транспортной системы города»)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;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- </w:t>
      </w:r>
      <w:r>
        <w:rPr>
          <w:rFonts w:eastAsia="Calibri" w:cs="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em w:val="none"/>
          <w:lang w:val="ru-RU" w:eastAsia="en-US" w:bidi="ar-SA"/>
        </w:rPr>
        <w:t>1 100 000,00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рублей </w:t>
      </w:r>
      <w:r>
        <w:rPr>
          <w:rFonts w:eastAsia="Calibri" w:cs="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em w:val="none"/>
          <w:lang w:val="ru-RU" w:eastAsia="en-US" w:bidi="ar-SA"/>
        </w:rPr>
        <w:t>несвоевременность представления исполнителями работ (поставщиками, подрядчиками) документов для расчетов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(п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роектная документация за счет средств муниципального дорожного фонда города Канска рамках подпрограммы «Благоустройство города»);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- 2 850 000,00 рублей экономия сложившаяся по результатам проведения конкурсных процедур (п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реконструкции, а также снос таких домов после расселения граждан);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- 8 538 602,17 рубля </w:t>
      </w:r>
      <w:r>
        <w:rPr>
          <w:rFonts w:eastAsia="Calibri" w:cs="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em w:val="none"/>
          <w:lang w:val="ru-RU" w:eastAsia="en-US" w:bidi="ar-SA"/>
        </w:rPr>
        <w:t>заявительный характер субсидирования организаций, производителей товаров, работ и услуг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(р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еализация отдельных мер по обеспечению ограничения платы граждан за коммунальные услуги (в соответствии с Законом края от 1 декабря 2014 года № 7-2839);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- </w:t>
      </w:r>
      <w:r>
        <w:rPr>
          <w:rFonts w:eastAsia="Calibri" w:cs="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em w:val="none"/>
          <w:lang w:val="ru-RU" w:eastAsia="en-US" w:bidi="ar-SA"/>
        </w:rPr>
        <w:t>5 959 505,00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рублей </w:t>
      </w:r>
      <w:r>
        <w:rPr>
          <w:rFonts w:eastAsia="Calibri" w:cs="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em w:val="none"/>
          <w:lang w:val="ru-RU" w:eastAsia="en-US" w:bidi="ar-SA"/>
        </w:rPr>
        <w:t>несвоевременность представления исполнителями работ (поставщиками, подрядчиками) документов для расчетов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(с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троительство муниципальных объектов коммунальной и транспортной инфраструктуры);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- 198 058,75 рублей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экономия сложившаяся по результатам проведения конкурсных процедур (жилищное и коммунальное хозяйство, благоустройство, другие вопросы в области жилищно-коммунального хозяйства, контейнеры)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.</w:t>
      </w:r>
    </w:p>
    <w:p>
      <w:pPr>
        <w:pStyle w:val="Normal"/>
        <w:widowControl w:val="false"/>
        <w:tabs>
          <w:tab w:val="clear" w:pos="408"/>
          <w:tab w:val="left" w:pos="0" w:leader="none"/>
        </w:tabs>
        <w:spacing w:lineRule="auto" w:line="276" w:before="0" w:after="0"/>
        <w:ind w:left="0" w:right="0" w:firstLine="709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tabs>
          <w:tab w:val="clear" w:pos="408"/>
          <w:tab w:val="left" w:pos="0" w:leader="none"/>
        </w:tabs>
        <w:spacing w:lineRule="auto" w:line="276" w:before="0" w:after="0"/>
        <w:ind w:left="0" w:right="0" w:firstLine="709"/>
        <w:contextualSpacing/>
        <w:jc w:val="center"/>
        <w:rPr/>
      </w:pPr>
      <w:r>
        <w:rPr>
          <w:rFonts w:ascii="Times New Roman" w:hAnsi="Times New Roman"/>
          <w:b/>
          <w:sz w:val="28"/>
          <w:szCs w:val="28"/>
        </w:rPr>
        <w:t>Анализ дебиторской и кредиторской задолженности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111111"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Дебиторская задолженность по доходам 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на 01.01.20</w:t>
      </w:r>
      <w:r>
        <w:rPr>
          <w:rFonts w:ascii="Times New Roman" w:hAnsi="Times New Roman"/>
          <w:b w:val="false"/>
          <w:bCs w:val="false"/>
          <w:sz w:val="28"/>
          <w:szCs w:val="28"/>
          <w:lang w:val="en-US" w:eastAsia="ru-RU"/>
        </w:rPr>
        <w:t>23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 года составила в сумме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eastAsia="Calibri" w:cs="" w:ascii="Times New Roman" w:hAnsi="Times New Roman" w:cstheme="minorBidi" w:eastAsiaTheme="minorHAnsi"/>
          <w:b/>
          <w:bCs/>
          <w:color w:val="auto"/>
          <w:kern w:val="0"/>
          <w:sz w:val="28"/>
          <w:szCs w:val="28"/>
          <w:lang w:val="ru-RU" w:eastAsia="ru-RU" w:bidi="ar-SA"/>
        </w:rPr>
        <w:t>4 961 482,45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рубля (на 01.01.2022 —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35 595 333,94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 рубля) в том числе: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  <w:lang w:eastAsia="ru-RU"/>
        </w:rPr>
        <w:t>- 3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4 836 406,49</w:t>
      </w: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  <w:lang w:eastAsia="ru-RU"/>
        </w:rPr>
        <w:t xml:space="preserve"> рублей дебиторская задолженность по социальному найму (на 01.01.2022 г. в сумме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33 945 333,94</w:t>
      </w: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  <w:lang w:eastAsia="ru-RU"/>
        </w:rPr>
        <w:t xml:space="preserve"> рубля). Данная задолженность выросла на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891 072,55</w:t>
      </w: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  <w:lang w:eastAsia="ru-RU"/>
        </w:rPr>
        <w:t xml:space="preserve"> рубля в связи с неплатежеспособностью населения. В том числе просроченная задолженность в сумме</w:t>
      </w:r>
      <w:r>
        <w:rPr>
          <w:rFonts w:eastAsia="Calibri" w:cs="" w:ascii="Times New Roman" w:hAnsi="Times New Roman" w:cstheme="minorBidi" w:eastAsiaTheme="minorHAnsi"/>
          <w:b/>
          <w:bCs/>
          <w:sz w:val="28"/>
          <w:szCs w:val="28"/>
          <w:lang w:eastAsia="ru-RU"/>
        </w:rPr>
        <w:t xml:space="preserve"> </w:t>
      </w:r>
      <w:r>
        <w:rPr>
          <w:rFonts w:eastAsia="Calibri" w:cs="" w:ascii="Times New Roman" w:hAnsi="Times New Roman" w:cstheme="minorBidi" w:eastAsiaTheme="minorHAnsi"/>
          <w:b/>
          <w:bCs/>
          <w:color w:val="auto"/>
          <w:kern w:val="0"/>
          <w:sz w:val="28"/>
          <w:szCs w:val="28"/>
          <w:lang w:val="ru-RU" w:eastAsia="ru-RU" w:bidi="ar-SA"/>
        </w:rPr>
        <w:t>4 640 768,83</w:t>
      </w: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  <w:lang w:eastAsia="ru-RU"/>
        </w:rPr>
        <w:t xml:space="preserve"> рублей.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>
          <w:i/>
          <w:i/>
          <w:iCs/>
        </w:rPr>
      </w:pPr>
      <w:r>
        <w:rPr>
          <w:rFonts w:eastAsia="Calibri" w:cs="" w:ascii="Times New Roman" w:hAnsi="Times New Roman" w:cstheme="minorBidi" w:eastAsiaTheme="minorHAnsi"/>
          <w:b w:val="false"/>
          <w:bCs w:val="false"/>
          <w:i/>
          <w:iCs/>
          <w:sz w:val="28"/>
          <w:szCs w:val="28"/>
          <w:lang w:eastAsia="ru-RU"/>
        </w:rPr>
        <w:t>В 2022 году было начислено по социальному и коммерческому найму жилья 12 019 707,04 рублей. Поступило в бюджет города 10 507 614,05 рублей. Списано как безнадежное к взысканию в сумме 425 865,86 рублей. Можно сделать вывод, что бюджет города в 2022 году по начислению и выплатам недополучил средств по счету 205.29 в сумме 1 086 227,13 рублей.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  <w:lang w:eastAsia="ru-RU"/>
        </w:rPr>
        <w:t>- 125 075,96 рублей невыясненные поступления, зачисляемые в бюджеты городских округов (поступление денежных средств 29.12.2022 года в связи с неверно указанными банковскими реквизитами по оплате пени по требованию за нарушение условий муниципального контракта (просрочка исполнения обязательств по  муниципальному контракту)</w:t>
      </w:r>
      <w:r>
        <w:rPr>
          <w:rFonts w:eastAsia="Times New Roman" w:cs="Times New Roman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.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111111"/>
          <w:sz w:val="28"/>
          <w:szCs w:val="28"/>
          <w:lang w:eastAsia="ru-RU"/>
        </w:rPr>
        <w:t xml:space="preserve">Дебиторская задолженность по </w:t>
      </w:r>
      <w:r>
        <w:rPr>
          <w:rFonts w:eastAsia="Times New Roman" w:cs="Times New Roman" w:ascii="Times New Roman" w:hAnsi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расходам</w:t>
      </w:r>
      <w:r>
        <w:rPr>
          <w:rFonts w:eastAsia="Times New Roman" w:cs="Times New Roman" w:ascii="Times New Roman" w:hAnsi="Times New Roman"/>
          <w:b/>
          <w:bCs/>
          <w:color w:val="11111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на 01.01.20</w:t>
      </w:r>
      <w:r>
        <w:rPr>
          <w:rFonts w:eastAsia="Times New Roman" w:cs="Times New Roman" w:ascii="Times New Roman" w:hAnsi="Times New Roman"/>
          <w:b w:val="false"/>
          <w:bCs w:val="false"/>
          <w:color w:val="111111"/>
          <w:sz w:val="28"/>
          <w:szCs w:val="28"/>
          <w:lang w:val="en-US" w:eastAsia="ru-RU"/>
        </w:rPr>
        <w:t>23</w:t>
      </w:r>
      <w:r>
        <w:rPr>
          <w:rFonts w:eastAsia="Times New Roman" w:cs="Times New Roman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 xml:space="preserve"> года составила в сумме </w:t>
      </w:r>
      <w:r>
        <w:rPr>
          <w:rFonts w:eastAsia="Times New Roman" w:cs="Times New Roman" w:ascii="Times New Roman" w:hAnsi="Times New Roman"/>
          <w:b/>
          <w:bCs/>
          <w:color w:val="111111"/>
          <w:sz w:val="28"/>
          <w:szCs w:val="28"/>
          <w:lang w:eastAsia="ru-RU"/>
        </w:rPr>
        <w:t xml:space="preserve">6 999,38 </w:t>
      </w:r>
      <w:r>
        <w:rPr>
          <w:rFonts w:eastAsia="Times New Roman" w:cs="Times New Roman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 xml:space="preserve">рублей (на 01.01.2022 —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2 328 738,44</w:t>
      </w:r>
      <w:r>
        <w:rPr>
          <w:rFonts w:eastAsia="Times New Roman" w:cs="Times New Roman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 xml:space="preserve"> рублей) в том числе:</w:t>
      </w:r>
    </w:p>
    <w:p>
      <w:pPr>
        <w:pStyle w:val="ListParagraph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sz w:val="28"/>
          <w:szCs w:val="28"/>
          <w:lang w:eastAsia="ru-RU"/>
        </w:rPr>
        <w:t xml:space="preserve">- 502,88 рубля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услуги связи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sz w:val="28"/>
          <w:szCs w:val="28"/>
          <w:lang w:eastAsia="ru-RU"/>
        </w:rPr>
        <w:t>;</w:t>
      </w:r>
    </w:p>
    <w:p>
      <w:pPr>
        <w:pStyle w:val="ListParagraph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sz w:val="28"/>
          <w:szCs w:val="28"/>
          <w:lang w:eastAsia="ru-RU"/>
        </w:rPr>
        <w:t xml:space="preserve">- 6 496,50 рублей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работы, услуги по содержанию имущества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sz w:val="28"/>
          <w:szCs w:val="28"/>
          <w:lang w:eastAsia="ru-RU"/>
        </w:rPr>
        <w:t>.</w:t>
      </w:r>
    </w:p>
    <w:p>
      <w:pPr>
        <w:pStyle w:val="ListParagraph"/>
        <w:widowControl w:val="false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/>
        </w:rPr>
      </w:r>
    </w:p>
    <w:p>
      <w:pPr>
        <w:pStyle w:val="ListParagraph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В сравнении с данными на 01.01.2022 года </w:t>
      </w:r>
      <w:r>
        <w:rPr>
          <w:rFonts w:eastAsia="Calibri" w:cs="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уменьшилась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дебиторская задолженность.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sz w:val="28"/>
          <w:szCs w:val="28"/>
          <w:lang w:eastAsia="ru-RU"/>
        </w:rPr>
        <w:t>В 2022 году проводилась работа по взысканию задолженности по социальному найму жилья, было направлено в мировой суд 283 исковых заявления на общую сумму 7 694 779,98 рублей. По результатам работы в бюджет на 01.01.2023 года поступило 1 974 772,40 рубля.</w:t>
      </w:r>
    </w:p>
    <w:p>
      <w:pPr>
        <w:pStyle w:val="Normal"/>
        <w:widowControl w:val="false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 xml:space="preserve">Просроченная дебиторская задолженность по доходам на 01.01.2023 года по данным формы 0503169 в сумме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/>
          <w:kern w:val="0"/>
          <w:sz w:val="28"/>
          <w:szCs w:val="28"/>
          <w:lang w:val="ru-RU" w:eastAsia="en-US" w:bidi="ar-SA"/>
        </w:rPr>
        <w:t>4 640 768,83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 xml:space="preserve"> рублей.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Данная задолженность сложилась из-за срока исковой давности, которая образовалась до 2018 года, так как лицевые счета на муниципальные квартиры находятся в аварийных домах и в приватизированных квартирах, а также задолженность по соц. найму.</w:t>
      </w:r>
    </w:p>
    <w:p>
      <w:pPr>
        <w:pStyle w:val="Normal"/>
        <w:widowControl w:val="false"/>
        <w:spacing w:lineRule="auto" w:line="276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редиторская задолженность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УС и ЖКХ на 01.01.2023 года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сложилась в сумме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7 </w:t>
      </w:r>
      <w:r>
        <w:rPr>
          <w:rFonts w:eastAsia="Calibri" w:cs="" w:ascii="Times New Roman" w:hAnsi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966,52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рублей прочие услуги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(на 01.01.2022 — 7 608,13 рублей)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. Оплата по муниципальным контрактам предусмотрена в январе 2023 года.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На 01.01.2023 года были начислены резервы предстоящих расходов на оплату отпускных с начислениями фондов в размере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1 959 760,97 рублей               (ф. 0503121 стр. 560, 0503130 стр. 520, ф. 0503169). Другие резервы в учреждении не формировались.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bookmarkStart w:id="3" w:name="__DdeLink__204_1892366468"/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>Просроченной и долгосрочной кредиторской задолженности на 01.01.2023 года по данным формы 0503169 нет.</w:t>
      </w:r>
      <w:bookmarkEnd w:id="3"/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cs="" w:cstheme="minorBidi"/>
          <w:i w:val="false"/>
          <w:i w:val="false"/>
          <w:iCs w:val="false"/>
          <w:color w:val="000000"/>
          <w:lang w:eastAsia="ru-RU"/>
        </w:rPr>
      </w:pPr>
      <w:r>
        <w:rPr>
          <w:rFonts w:cs="" w:cstheme="minorBidi"/>
          <w:i w:val="false"/>
          <w:iCs w:val="false"/>
          <w:color w:val="000000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/>
          <w:b w:val="false"/>
          <w:b w:val="false"/>
          <w:bCs w:val="false"/>
          <w:i/>
          <w:i/>
          <w:iCs/>
          <w:color w:val="111111"/>
          <w:kern w:val="0"/>
          <w:sz w:val="28"/>
          <w:szCs w:val="28"/>
          <w:lang w:val="ru-RU" w:eastAsia="en-US" w:bidi="ar-SA"/>
        </w:rPr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Данные кредиторская задолженность и дебиторская задолженность по расходам сложились за счет заключенных договоров текущего года и являются основанием для погашения обязательств очередного финансового года.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Выводы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sz w:val="28"/>
          <w:szCs w:val="28"/>
        </w:rPr>
        <w:t>1. В ходе проверки выявлены факты неполного заполнения форм бюджетной отчетности, согласно п. 155 Инструкции № 191н.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2. Фактов, способных негативно повлиять на достоверность отчетности, не установлено. 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В связи с увеличением дебиторской задолженности по социальному найму жилья бюджет города Канска не дополучил доход в сумме                  34 836 406,49 рублей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bookmarkStart w:id="4" w:name="__DdeLink__2710_4196007271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В нарушение ст. 34 Бюджетного кодекса РФ принципа эффективности расходования бюджетных средств произведены расходы на оплату расходов по исполнительным листам по судебным расходам на общую сумму </w:t>
      </w:r>
      <w:bookmarkEnd w:id="4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29 859,00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рублей.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Предложения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bookmarkStart w:id="5" w:name="__DdeLink__476_3992267206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</w:t>
      </w:r>
      <w:bookmarkEnd w:id="5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Направить заключение о результатах внешней проверки бюджетной отчетности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УС и ЖКХ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Управлению строительства и жилищно-коммунального хозяйства администрации города Канска усилить контроль по снижению  задолженности по социальному найму жилья.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3. УС и ЖКХ администрации города Канска осуществлять контроль                                 и не допускать просроченной дебиторской задолженности.</w:t>
      </w:r>
    </w:p>
    <w:p>
      <w:pPr>
        <w:pStyle w:val="Normal"/>
        <w:tabs>
          <w:tab w:val="clear" w:pos="408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Не допускать фактов неполноты представления составленной бюджетной отчетности.</w:t>
      </w:r>
    </w:p>
    <w:p>
      <w:pPr>
        <w:pStyle w:val="Normal"/>
        <w:tabs>
          <w:tab w:val="clear" w:pos="408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5. Составлять бюджетную отчетность в соответствии с требованиями Инструкции № 191н. </w:t>
      </w:r>
    </w:p>
    <w:p>
      <w:pPr>
        <w:pStyle w:val="Normal"/>
        <w:tabs>
          <w:tab w:val="clear" w:pos="408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и</w:t>
      </w:r>
      <w:bookmarkStart w:id="6" w:name="__DdeLink__1846_568437142"/>
      <w:r>
        <w:rPr>
          <w:rFonts w:cs="Times New Roman" w:ascii="Times New Roman" w:hAnsi="Times New Roman"/>
          <w:sz w:val="28"/>
          <w:szCs w:val="28"/>
        </w:rPr>
        <w:t>нспектор Контрольно-счетной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комиссии города Канска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>Е</w:t>
      </w:r>
      <w:r>
        <w:rPr>
          <w:rFonts w:cs="Times New Roman" w:ascii="Times New Roman" w:hAnsi="Times New Roman"/>
          <w:sz w:val="28"/>
          <w:szCs w:val="28"/>
        </w:rPr>
        <w:t>.В. Данилова</w:t>
      </w:r>
      <w:bookmarkEnd w:id="6"/>
    </w:p>
    <w:sectPr>
      <w:footerReference w:type="default" r:id="rId2"/>
      <w:footnotePr>
        <w:numFmt w:val="decimal"/>
      </w:footnotePr>
      <w:type w:val="nextPage"/>
      <w:pgSz w:w="11906" w:h="16838"/>
      <w:pgMar w:left="1701" w:right="850" w:header="0" w:top="851" w:footer="708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96479986"/>
    </w:sdtPr>
    <w:sdtContent>
      <w:p>
        <w:pPr>
          <w:pStyle w:val="Style32"/>
          <w:jc w:val="center"/>
          <w:rPr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5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Style32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3"/>
        <w:rPr/>
      </w:pPr>
      <w:r>
        <w:rPr>
          <w:rStyle w:val="Style20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Приказ финансового управления администрации города Канска от 22.12.2022 № 144 о/д</w:t>
      </w:r>
    </w:p>
  </w:footnote>
</w:footnotes>
</file>

<file path=word/settings.xml><?xml version="1.0" encoding="utf-8"?>
<w:settings xmlns:w="http://schemas.openxmlformats.org/wordprocessingml/2006/main">
  <w:zoom w:percent="100"/>
  <w:defaultTabStop w:val="408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56a5d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000d0f"/>
    <w:rPr/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000d0f"/>
    <w:rPr/>
  </w:style>
  <w:style w:type="character" w:styleId="Style16" w:customStyle="1">
    <w:name w:val="Абзац списка Знак"/>
    <w:link w:val="a3"/>
    <w:uiPriority w:val="34"/>
    <w:qFormat/>
    <w:locked/>
    <w:rsid w:val="008a7069"/>
    <w:rPr/>
  </w:style>
  <w:style w:type="character" w:styleId="Style17" w:customStyle="1">
    <w:name w:val="Текст сноски Знак"/>
    <w:basedOn w:val="DefaultParagraphFont"/>
    <w:link w:val="aa"/>
    <w:uiPriority w:val="99"/>
    <w:semiHidden/>
    <w:qFormat/>
    <w:rsid w:val="003b5349"/>
    <w:rPr>
      <w:sz w:val="20"/>
      <w:szCs w:val="20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b5349"/>
    <w:rPr>
      <w:vertAlign w:val="superscript"/>
    </w:rPr>
  </w:style>
  <w:style w:type="character" w:styleId="Style19" w:customStyle="1">
    <w:name w:val="Текст выноски Знак"/>
    <w:basedOn w:val="DefaultParagraphFont"/>
    <w:link w:val="ad"/>
    <w:uiPriority w:val="99"/>
    <w:semiHidden/>
    <w:qFormat/>
    <w:rsid w:val="00a66277"/>
    <w:rPr>
      <w:rFonts w:ascii="Tahoma" w:hAnsi="Tahoma" w:cs="Tahoma"/>
      <w:sz w:val="16"/>
      <w:szCs w:val="16"/>
    </w:rPr>
  </w:style>
  <w:style w:type="character" w:styleId="Style20">
    <w:name w:val="Символ сноски"/>
    <w:qFormat/>
    <w:rPr/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 концевой сноски"/>
    <w:qFormat/>
    <w:rPr/>
  </w:style>
  <w:style w:type="character" w:styleId="Style23">
    <w:name w:val="Маркеры списка"/>
    <w:qFormat/>
    <w:rPr>
      <w:rFonts w:ascii="OpenSymbol" w:hAnsi="OpenSymbol" w:eastAsia="OpenSymbol" w:cs="OpenSymbol"/>
      <w:sz w:val="20"/>
      <w:szCs w:val="20"/>
    </w:rPr>
  </w:style>
  <w:style w:type="character" w:styleId="Style24">
    <w:name w:val="Интернет-ссылка"/>
    <w:basedOn w:val="DefaultParagraphFont"/>
    <w:rPr>
      <w:color w:val="0000FF"/>
      <w:u w:val="single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6">
    <w:name w:val="Body Text"/>
    <w:basedOn w:val="Normal"/>
    <w:pPr>
      <w:spacing w:lineRule="auto" w:line="276" w:before="0" w:after="140"/>
    </w:pPr>
    <w:rPr/>
  </w:style>
  <w:style w:type="paragraph" w:styleId="Style27">
    <w:name w:val="List"/>
    <w:basedOn w:val="Style26"/>
    <w:pPr/>
    <w:rPr>
      <w:rFonts w:cs="Ari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4"/>
    <w:uiPriority w:val="34"/>
    <w:qFormat/>
    <w:rsid w:val="0060388e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a17996"/>
    <w:pPr>
      <w:widowControl/>
      <w:overflowPunct w:val="fals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Header"/>
    <w:basedOn w:val="Normal"/>
    <w:link w:val="a7"/>
    <w:uiPriority w:val="99"/>
    <w:unhideWhenUsed/>
    <w:rsid w:val="00000d0f"/>
    <w:pPr>
      <w:tabs>
        <w:tab w:val="clear" w:pos="4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>
    <w:name w:val="Footer"/>
    <w:basedOn w:val="Normal"/>
    <w:link w:val="a9"/>
    <w:uiPriority w:val="99"/>
    <w:unhideWhenUsed/>
    <w:rsid w:val="00000d0f"/>
    <w:pPr>
      <w:tabs>
        <w:tab w:val="clear" w:pos="4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3">
    <w:name w:val="Footnote Text"/>
    <w:basedOn w:val="Normal"/>
    <w:link w:val="ab"/>
    <w:uiPriority w:val="99"/>
    <w:semiHidden/>
    <w:unhideWhenUsed/>
    <w:rsid w:val="003b5349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a6627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8c5b53"/>
    <w:pPr>
      <w:widowControl/>
      <w:overflowPunct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b4d9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BA63-8E54-4584-9664-EF48C7DE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Application>LibreOffice/6.3.6.2$Windows_x86 LibreOffice_project/2196df99b074d8a661f4036fca8fa0cbfa33a497</Application>
  <Pages>7</Pages>
  <Words>1881</Words>
  <Characters>12611</Characters>
  <CharactersWithSpaces>14845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2017-03-20T08:11:00Z</dcterms:created>
  <dc:creator>sk</dc:creator>
  <dc:description/>
  <dc:language>ru-RU</dc:language>
  <cp:lastModifiedBy/>
  <cp:lastPrinted>2023-03-20T15:02:22Z</cp:lastPrinted>
  <dcterms:modified xsi:type="dcterms:W3CDTF">2023-03-20T15:02:28Z</dcterms:modified>
  <cp:revision>132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