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pBdr>
          <w:top w:val="double" w:sz="6" w:space="1" w:color="000000"/>
        </w:pBdr>
        <w:spacing w:before="0" w:after="12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Е.В.  Парфенова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"____"_______________2023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Управления по делам гражданской обороны и чрезвычайным ситуациям администрации города Канска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 20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22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Внешняя проверка бюджетной отчетности Управления по делам гражданской обороны и чрезвычайным ситуациям администрации города Канска проведена Контрольно-счетной комиссией города Канска, камеральным методом в рамках требований стандарта внешнего муниципального финансового контроля «Порядок проведения внешней проверки годового отчета об исполнении бюджета города Канска», утвержденного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распоряжением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председателя Контрольно-счетной комиссией города Канска 20.10.2015 № 22.</w:t>
      </w:r>
    </w:p>
    <w:p>
      <w:pPr>
        <w:pStyle w:val="Normal"/>
        <w:widowControl w:val="false"/>
        <w:tabs>
          <w:tab w:val="clear" w:pos="709"/>
          <w:tab w:val="left" w:pos="993" w:leader="none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</w:t>
      </w:r>
      <w:r>
        <w:rPr>
          <w:rFonts w:eastAsia="Calibri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 плана работы Контрольно-счетной комиссии города Канска на 2023 год.</w:t>
      </w:r>
    </w:p>
    <w:p>
      <w:pPr>
        <w:pStyle w:val="ListParagraph"/>
        <w:widowControl w:val="false"/>
        <w:tabs>
          <w:tab w:val="clear" w:pos="709"/>
          <w:tab w:val="left" w:pos="993" w:leader="none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 проверки:</w:t>
      </w:r>
      <w:r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(далее - ГРБС) - </w:t>
      </w:r>
      <w:bookmarkStart w:id="0" w:name="__DdeLink__3049_4026861214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Управление по делам гражданской обороны и чрезвычайным ситуациям администрации города Канска</w:t>
      </w:r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</w:t>
      </w:r>
      <w:bookmarkStart w:id="1" w:name="__DdeLink__912_3909654905"/>
      <w:r>
        <w:rPr>
          <w:rFonts w:ascii="Times New Roman" w:hAnsi="Times New Roman"/>
          <w:sz w:val="28"/>
          <w:szCs w:val="28"/>
        </w:rPr>
        <w:t>Управление по делам ГО            и ЧС г. Канска</w:t>
      </w:r>
      <w:bookmarkEnd w:id="1"/>
      <w:r>
        <w:rPr>
          <w:rFonts w:ascii="Times New Roman" w:hAnsi="Times New Roman"/>
          <w:sz w:val="28"/>
          <w:szCs w:val="28"/>
        </w:rPr>
        <w:t>).</w:t>
      </w:r>
    </w:p>
    <w:p>
      <w:pPr>
        <w:pStyle w:val="ListParagraph"/>
        <w:widowControl w:val="false"/>
        <w:tabs>
          <w:tab w:val="clear" w:pos="709"/>
          <w:tab w:val="left" w:pos="993" w:leader="none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>
      <w:pPr>
        <w:pStyle w:val="ListParagraph"/>
        <w:widowControl w:val="false"/>
        <w:tabs>
          <w:tab w:val="clear" w:pos="709"/>
          <w:tab w:val="left" w:pos="993" w:leader="none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проверки:</w:t>
      </w:r>
      <w:r>
        <w:rPr>
          <w:rFonts w:ascii="Times New Roman" w:hAnsi="Times New Roman"/>
          <w:sz w:val="28"/>
          <w:szCs w:val="28"/>
        </w:rPr>
        <w:t xml:space="preserve"> экспертно-аналитическое мероприятие.</w:t>
      </w:r>
    </w:p>
    <w:p>
      <w:pPr>
        <w:pStyle w:val="ListParagraph"/>
        <w:widowControl w:val="false"/>
        <w:tabs>
          <w:tab w:val="clear" w:pos="709"/>
          <w:tab w:val="left" w:pos="993" w:leader="none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2022 год.</w:t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результате проверки бюджетной отчетности за 2022 год установлено следующее.</w:t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Бюджетная отчетность </w:t>
      </w:r>
      <w:r>
        <w:rPr>
          <w:rFonts w:ascii="Times New Roman" w:hAnsi="Times New Roman"/>
          <w:sz w:val="28"/>
          <w:szCs w:val="28"/>
        </w:rPr>
        <w:t>Управления по делам ГО и ЧС г. Канска за 2022 год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предоставлена в финансовое управление администрации города Канска 19.01.2023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2"/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Бюджетная отчетность за 2022 год предоставлена в Контрольно-счетную комиссию 28.02.2023 года. В соответствии с п.4 ст.44 Положения о бюджетном процессе срок предоставления годовой бюджетной отчетности главных администраторов бюджетных средств для проведения внешней проверки не указан.</w:t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3. Ведение бюджетного учета в 2022 году осуществлялось работниками бухгалтерии, состоящие в штате </w:t>
      </w:r>
      <w:r>
        <w:rPr>
          <w:rFonts w:ascii="Times New Roman" w:hAnsi="Times New Roman"/>
          <w:color w:val="000000"/>
          <w:sz w:val="28"/>
          <w:szCs w:val="28"/>
        </w:rPr>
        <w:t>Управление по делам ГО и ЧС г. Канска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Состав бюджетной отчетности соответствует составу бюджетной отчетности, утвержденной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– Инструкция № 191н).</w:t>
      </w:r>
    </w:p>
    <w:p>
      <w:pPr>
        <w:pStyle w:val="Normal"/>
        <w:tabs>
          <w:tab w:val="clear" w:pos="709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Согласно п. 1 Инструкции № 191н ГРБС, наиболее значимые учреждения науки, образования, культуры и здравоохранения, указанные в ведомственной структуре расходов соответствующего бюджета составляют и предоставляют годовую, квартальную и месячную отчетность об исполнении бюджетов бюджетной системы Российской Федерации (далее бюджетная отчетность) по формам согласно приложению к настоящей Инструкции.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Решением Канского городского Совета депутатов от 21.12.2021                               № 11-102 «О бюджете города Канска на 2022 год и плановый период 2023 – 2024 годов», Управление по делам ГО и ЧС г. Канска отражено в ведомственной структуре расходов городского бюджета как главный распорядитель бюджетных средств.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Таким образом, в состав бюджетной отчетности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Контрольно-счетной комиссии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включаются формы бюджетной отчетности, указанные в п. 11.1 Инструкции № 191н.</w:t>
      </w:r>
    </w:p>
    <w:p>
      <w:pPr>
        <w:pStyle w:val="Normal"/>
        <w:spacing w:lineRule="auto" w:line="276" w:before="0" w:after="0"/>
        <w:ind w:left="0"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Структура (состав) разделов и порядок заполнения Пояснительной записки (ф. 0503160) приведены в п. 151 – 174 Инструкции № 191н. </w:t>
      </w:r>
    </w:p>
    <w:p>
      <w:pPr>
        <w:pStyle w:val="Normal"/>
        <w:spacing w:lineRule="auto" w:line="276" w:before="0" w:after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При анализе пояснительной записки к годовой отчетности по ф.0503160, включая необходимые приложения и таблицы, установлено, что текстовая часть пояснительной записки разделена на предусмотренные разделы с 1 по 5 (п. 152 Инструкции № 191н), содержание разделов отражено в полном объеме, что обеспечивает необходимую информативность предусмотренных показателей и прозрачность бюджетной отчетности</w:t>
      </w:r>
      <w:r>
        <w:rPr>
          <w:rFonts w:eastAsia="Calibri" w:ascii="Times New Roman" w:hAnsi="Times New Roman" w:eastAsiaTheme="minorHAnsi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eastAsia="en-US"/>
        </w:rPr>
        <w:t>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eastAsia="en-US"/>
        </w:rPr>
        <w:t xml:space="preserve">В соответствии с Федеральным законом от 06.12.2011 № 402               «О бухгалтерском учете» и п. 7 Инструкции № 191н для исполнения обязанности проведения инвентаризации материальных активов и обязательств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>создана постоянно действующая комиссия, которой была проведена инвентаризация, расхождений по результатам не выявлено.</w:t>
      </w:r>
    </w:p>
    <w:p>
      <w:pPr>
        <w:pStyle w:val="Normal"/>
        <w:spacing w:lineRule="auto" w:line="276" w:before="0" w:after="0"/>
        <w:ind w:left="0" w:firstLine="54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П. 8 Инструкции № 191н,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 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 пояснительной записке к отчетности, не составлялись, в связи с отсутствием числовых показателей в отчете, следующие формы годовой бюджетной отчетности за 2022 год: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0503128-п,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0503166, 0503167, 0503171, 0503172, 0503173, 0503174, 0503178, 0503190, 0503191, 0503192, 0503296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, таблица 1, 3.</w:t>
      </w:r>
    </w:p>
    <w:p>
      <w:pPr>
        <w:pStyle w:val="Normal"/>
        <w:tabs>
          <w:tab w:val="clear" w:pos="709"/>
          <w:tab w:val="left" w:pos="1134" w:leader="none"/>
        </w:tabs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center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111111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111111"/>
          <w:sz w:val="28"/>
          <w:szCs w:val="28"/>
        </w:rPr>
        <w:t xml:space="preserve">Доходная часть исполнена на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100 %</w:t>
      </w:r>
      <w:r>
        <w:rPr>
          <w:rFonts w:cs="Times New Roman" w:ascii="Times New Roman" w:hAnsi="Times New Roman"/>
          <w:b w:val="false"/>
          <w:bCs w:val="false"/>
          <w:color w:val="111111"/>
          <w:sz w:val="28"/>
          <w:szCs w:val="28"/>
        </w:rPr>
        <w:t xml:space="preserve">, план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2 053 313,30</w:t>
      </w:r>
      <w:r>
        <w:rPr>
          <w:rFonts w:cs="Times New Roman" w:ascii="Times New Roman" w:hAnsi="Times New Roman"/>
          <w:b w:val="false"/>
          <w:bCs w:val="false"/>
          <w:color w:val="111111"/>
          <w:sz w:val="28"/>
          <w:szCs w:val="28"/>
        </w:rPr>
        <w:t xml:space="preserve"> рублей и факт   </w:t>
      </w:r>
      <w:r>
        <w:rPr>
          <w:rFonts w:eastAsia="Calibri" w:cs="Times New Roman" w:ascii="Times New Roman" w:hAnsi="Times New Roman"/>
          <w:b/>
          <w:bCs/>
          <w:color w:val="111111"/>
          <w:kern w:val="0"/>
          <w:sz w:val="28"/>
          <w:szCs w:val="28"/>
          <w:lang w:val="ru-RU" w:eastAsia="en-US" w:bidi="ar-SA"/>
        </w:rPr>
        <w:t>2 053 312,67</w:t>
      </w:r>
      <w:r>
        <w:rPr>
          <w:rFonts w:cs="Times New Roman" w:ascii="Times New Roman" w:hAnsi="Times New Roman"/>
          <w:b w:val="false"/>
          <w:bCs w:val="false"/>
          <w:color w:val="111111"/>
          <w:sz w:val="28"/>
          <w:szCs w:val="28"/>
        </w:rPr>
        <w:t xml:space="preserve"> рублей (ф. 0503164) отклонение </w:t>
      </w:r>
      <w:r>
        <w:rPr>
          <w:rFonts w:cs="Times New Roman" w:ascii="Times New Roman" w:hAnsi="Times New Roman"/>
          <w:b/>
          <w:bCs/>
          <w:color w:val="111111"/>
          <w:sz w:val="28"/>
          <w:szCs w:val="28"/>
        </w:rPr>
        <w:t>0,63</w:t>
      </w:r>
      <w:r>
        <w:rPr>
          <w:rFonts w:cs="Times New Roman" w:ascii="Times New Roman" w:hAnsi="Times New Roman"/>
          <w:b w:val="false"/>
          <w:bCs w:val="false"/>
          <w:color w:val="111111"/>
          <w:sz w:val="28"/>
          <w:szCs w:val="28"/>
        </w:rPr>
        <w:t xml:space="preserve"> рубля.</w:t>
      </w:r>
    </w:p>
    <w:p>
      <w:pPr>
        <w:pStyle w:val="Normal"/>
        <w:ind w:left="0" w:right="0"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</w:rPr>
        <w:t xml:space="preserve">Решением Канского городского Совета депутатов от 21.12.2021                          № 11-102 «О бюджете города Канска на 2022 год и плановый период 2023 - 2024 годов» Управлением по делам ГО и ЧС г. Канска утверждены бюджетные ассигнования в объеме </w:t>
      </w:r>
      <w:r>
        <w:rPr>
          <w:rFonts w:eastAsia="Calibri" w:cs="" w:ascii="Times New Roman" w:hAnsi="Times New Roman" w:cstheme="minorBidi" w:eastAsiaTheme="minorHAnsi"/>
          <w:b/>
          <w:bCs/>
          <w:sz w:val="28"/>
          <w:szCs w:val="28"/>
        </w:rPr>
        <w:t>36 175 360,00</w:t>
      </w: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</w:rPr>
        <w:t xml:space="preserve"> рублей. Вследствие корректировок бюджетных назначений план ассигнований увеличился на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     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7 221 299,00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</w:rPr>
        <w:t xml:space="preserve">рублей и составил </w:t>
      </w:r>
      <w:r>
        <w:rPr>
          <w:rFonts w:eastAsia="Calibri" w:cs="" w:ascii="Times New Roman" w:hAnsi="Times New Roman" w:cstheme="minorBidi" w:eastAsiaTheme="minorHAnsi"/>
          <w:b/>
          <w:bCs/>
          <w:sz w:val="28"/>
          <w:szCs w:val="28"/>
        </w:rPr>
        <w:t>43 396 659,00</w:t>
      </w: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</w:rPr>
        <w:t xml:space="preserve"> рублей. 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данным Отчета об исполнении бюджета главного распорядителя                   (ф. 0503127) исполнение расходов за 2022 год составило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Calibri" w:cs="" w:ascii="Times New Roman" w:hAnsi="Times New Roman" w:cstheme="minorBidi" w:eastAsiaTheme="minorHAnsi"/>
          <w:b/>
          <w:bCs/>
          <w:sz w:val="28"/>
          <w:szCs w:val="28"/>
        </w:rPr>
        <w:t>43 395 138,25</w:t>
      </w: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</w:rPr>
        <w:t xml:space="preserve"> рублей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или </w:t>
      </w:r>
      <w:r>
        <w:rPr>
          <w:rFonts w:cs="Times New Roman" w:ascii="Times New Roman" w:hAnsi="Times New Roman"/>
          <w:b/>
          <w:bCs/>
          <w:sz w:val="28"/>
          <w:szCs w:val="28"/>
        </w:rPr>
        <w:t>100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%</w:t>
      </w:r>
      <w:r>
        <w:rPr>
          <w:rFonts w:cs="Times New Roman" w:ascii="Times New Roman" w:hAnsi="Times New Roman"/>
          <w:sz w:val="28"/>
          <w:szCs w:val="28"/>
        </w:rPr>
        <w:t xml:space="preserve"> от плановых назначений с учетом корректировок.</w:t>
      </w:r>
    </w:p>
    <w:p>
      <w:pPr>
        <w:pStyle w:val="Normal"/>
        <w:tabs>
          <w:tab w:val="clear" w:pos="709"/>
          <w:tab w:val="left" w:pos="1134" w:leader="none"/>
        </w:tabs>
        <w:ind w:left="0" w:right="0" w:firstLine="709"/>
        <w:jc w:val="both"/>
        <w:rPr/>
      </w:pPr>
      <w:bookmarkStart w:id="2" w:name="__DdeLink__439_151744500"/>
      <w:r>
        <w:rPr>
          <w:rFonts w:cs="Times New Roman" w:ascii="Times New Roman" w:hAnsi="Times New Roman"/>
          <w:sz w:val="28"/>
          <w:szCs w:val="28"/>
        </w:rPr>
        <w:t xml:space="preserve">На конец года невыполненные плановые ассигнования составили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1 520,75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рублей.</w:t>
      </w:r>
      <w:bookmarkEnd w:id="2"/>
    </w:p>
    <w:p>
      <w:pPr>
        <w:pStyle w:val="Normal"/>
        <w:widowControl w:val="false"/>
        <w:tabs>
          <w:tab w:val="clear" w:pos="709"/>
          <w:tab w:val="left" w:pos="0" w:leader="none"/>
          <w:tab w:val="left" w:pos="1134" w:leader="none"/>
        </w:tabs>
        <w:spacing w:before="0" w:after="120"/>
        <w:ind w:left="0" w:right="0" w:hanging="0"/>
        <w:contextualSpacing/>
        <w:jc w:val="center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Анализ дебиторской и кредиторской задолженности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34" w:leader="none"/>
        </w:tabs>
        <w:spacing w:before="0" w:after="120"/>
        <w:ind w:left="0" w:right="0" w:hanging="0"/>
        <w:contextualSpacing/>
        <w:jc w:val="center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Дебиторская задолженность по 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8"/>
          <w:szCs w:val="28"/>
          <w:lang w:val="ru-RU" w:eastAsia="ru-RU" w:bidi="ar-SA"/>
        </w:rPr>
        <w:t>доходам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на 01.01.20</w:t>
      </w:r>
      <w:r>
        <w:rPr>
          <w:rFonts w:ascii="Times New Roman" w:hAnsi="Times New Roman"/>
          <w:b w:val="false"/>
          <w:bCs w:val="false"/>
          <w:sz w:val="28"/>
          <w:szCs w:val="28"/>
          <w:lang w:val="en-US" w:eastAsia="ru-RU"/>
        </w:rPr>
        <w:t>23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года составила в сумме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1 158,80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рублей авансовый платеж за услуги связи (на 01.01.2022 — 64,30 рубля).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Просроченная дебиторская задолженность в сумме 1 158,80 рублей (авансовый платеж за услуги связи).</w:t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0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Кредиторская задолженность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у Управления по делам ГО и ЧС             г. Канска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 01.01.2023 г. в сумме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43 067,64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рублей (на 01.01.2022 —                10 350,80 рублей),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том числе: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- 21 726,17 рублей электроэнергия за декабрь 2022 г.;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17 904,90</w:t>
      </w:r>
      <w:r>
        <w:rPr>
          <w:rFonts w:cs="Times New Roman" w:ascii="Times New Roman" w:hAnsi="Times New Roman"/>
          <w:sz w:val="28"/>
          <w:szCs w:val="28"/>
        </w:rPr>
        <w:t xml:space="preserve"> рубля за тепло декабрь 2022 г.;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- 748,55 рублей услуги связи за декабрь 2022 г.;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- 2 688,00 рублей прочие услуги.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Данная кредиторская задолженность сформировалась за декабрь 2022 года (оплата будет произведена в январе 2023 года). 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Просроченная и долгосрочная кредиторская задолженности на 01.01.2023 года по данным ф. 0503169 отсутствует.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lang w:eastAsia="ru-RU"/>
        </w:rPr>
        <w:t>Данные кредиторская и дебиторская задолженности сложились за счет заключенных договоров текущего года и являются основанием для погашения обязательств очередного финансового года.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lang w:eastAsia="ru-RU"/>
        </w:rPr>
        <w:t>Задолженности по текущим выплатам персоналу на начало и конец отчетного периода нет.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Calibri"/>
          <w:b w:val="false"/>
          <w:b w:val="false"/>
          <w:bCs w:val="false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На 01.01.2023 года были начислены резервы предстоящих расходов на оплату отпускных с начислениями фондов в размере </w:t>
      </w:r>
      <w:r>
        <w:rPr>
          <w:rFonts w:eastAsia="Calibri" w:cs="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 xml:space="preserve">3 331 841,00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рубль             (ф. 0503121 стр. 560, 0503130 стр. 520, ф. 0503169). Другие резервы в учреждении не формировались.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76" w:before="0" w:after="0"/>
        <w:ind w:firstLine="567"/>
        <w:contextualSpacing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Выводы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>
      <w:pPr>
        <w:pStyle w:val="Normal"/>
        <w:widowControl w:val="false"/>
        <w:spacing w:lineRule="auto" w:line="276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sz w:val="28"/>
          <w:szCs w:val="28"/>
        </w:rPr>
        <w:t>1. В ходе проверки не выявлены факты неполного заполнения форм бюджетной отчетности.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Фактов, способных негативно повлиять на достоверность отчетности, не установлено.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Предложения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Направить заключение о результатах внешней проверки бюджетной отчетности в </w:t>
      </w:r>
      <w:r>
        <w:rPr>
          <w:rFonts w:ascii="Times New Roman" w:hAnsi="Times New Roman"/>
          <w:sz w:val="28"/>
          <w:szCs w:val="28"/>
        </w:rPr>
        <w:t>Управление по делам ГО и ЧС г. Канска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инспектор</w:t>
      </w:r>
      <w:r>
        <w:rPr>
          <w:rFonts w:cs="Times New Roman" w:ascii="Times New Roman" w:hAnsi="Times New Roman"/>
          <w:sz w:val="28"/>
          <w:szCs w:val="28"/>
        </w:rPr>
        <w:t xml:space="preserve"> Контрольно-счетной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комиссии города Канска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.В. </w:t>
      </w:r>
      <w:hyperlink r:id="rId2">
        <w:r>
          <w:rPr>
            <w:rStyle w:val="Style"/>
            <w:rFonts w:eastAsia="Calibri" w:cs="Times New Roman" w:ascii="Times New Roman" w:hAnsi="Times New Roman" w:eastAsiaTheme="minorHAnsi"/>
            <w:color w:val="auto"/>
            <w:kern w:val="0"/>
            <w:sz w:val="28"/>
            <w:szCs w:val="28"/>
            <w:lang w:val="ru-RU" w:eastAsia="en-US" w:bidi="ar-SA"/>
          </w:rPr>
          <w:t>Данилова</w:t>
        </w:r>
      </w:hyperlink>
    </w:p>
    <w:sectPr>
      <w:footerReference w:type="default" r:id="rId3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61737722"/>
    </w:sdtPr>
    <w:sdtContent>
      <w:p>
        <w:pPr>
          <w:pStyle w:val="Style32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4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1"/>
        </w:rPr>
        <w:footnoteRef/>
      </w:r>
      <w:r>
        <w:rPr>
          <w:rFonts w:cs="Times New Roman" w:ascii="Times New Roman" w:hAnsi="Times New Roman"/>
        </w:rPr>
        <w:t>Приказ финансового управления  администрации города Канска от 22.12.2022 № 144о/д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770f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000d0f"/>
    <w:rPr/>
  </w:style>
  <w:style w:type="character" w:styleId="Style16" w:customStyle="1">
    <w:name w:val="Абзац списка Знак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uiPriority w:val="99"/>
    <w:semiHidden/>
    <w:qFormat/>
    <w:rsid w:val="003b5349"/>
    <w:rPr>
      <w:sz w:val="20"/>
      <w:szCs w:val="20"/>
    </w:rPr>
  </w:style>
  <w:style w:type="character" w:styleId="Style18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styleId="Style20" w:customStyle="1">
    <w:name w:val="Интернет-ссылка"/>
    <w:basedOn w:val="DefaultParagraphFont"/>
    <w:uiPriority w:val="99"/>
    <w:unhideWhenUsed/>
    <w:rsid w:val="006d2108"/>
    <w:rPr>
      <w:color w:val="0000FF"/>
      <w:u w:val="single"/>
    </w:rPr>
  </w:style>
  <w:style w:type="character" w:styleId="Style21" w:customStyle="1">
    <w:name w:val="Символ сноски"/>
    <w:qFormat/>
    <w:rPr/>
  </w:style>
  <w:style w:type="character" w:styleId="Style22" w:customStyle="1">
    <w:name w:val="Привязка концевой сноски"/>
    <w:rPr>
      <w:vertAlign w:val="superscript"/>
    </w:rPr>
  </w:style>
  <w:style w:type="character" w:styleId="Style23" w:customStyle="1">
    <w:name w:val="Символ концевой сноски"/>
    <w:qFormat/>
    <w:rPr/>
  </w:style>
  <w:style w:type="character" w:styleId="Style24">
    <w:name w:val="Маркеры списка"/>
    <w:qFormat/>
    <w:rPr>
      <w:rFonts w:ascii="OpenSymbol" w:hAnsi="OpenSymbol" w:eastAsia="OpenSymbol" w:cs="OpenSymbol"/>
      <w:sz w:val="18"/>
      <w:szCs w:val="18"/>
    </w:rPr>
  </w:style>
  <w:style w:type="paragraph" w:styleId="Style25" w:customStyle="1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true"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2"/>
      <w:szCs w:val="20"/>
      <w:lang w:val="ru-RU" w:eastAsia="en-US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note Text"/>
    <w:basedOn w:val="Normal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8b01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>
    <w:name w:val="ConsPlusNonformat"/>
    <w:qFormat/>
    <w:pPr>
      <w:widowControl/>
      <w:overflowPunct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4b4d9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E27BC506C5ACC91527E52D54499B1D175AF92D1D2FA6FD9F533202D9FD4CC880CD3153542F25676F654DFEC862F85C3220CC26E92DC0C2Cn8Q0I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DD44-4B53-436F-9CBB-19D22D17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Application>LibreOffice/6.3.6.2$Windows_x86 LibreOffice_project/2196df99b074d8a661f4036fca8fa0cbfa33a497</Application>
  <Pages>4</Pages>
  <Words>998</Words>
  <Characters>6611</Characters>
  <CharactersWithSpaces>7895</CharactersWithSpaces>
  <Paragraphs>56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2023-03-10T15:16:00Z</dcterms:created>
  <dc:creator>sk</dc:creator>
  <dc:description/>
  <dc:language>ru-RU</dc:language>
  <cp:lastModifiedBy/>
  <cp:lastPrinted>2023-03-17T13:43:02Z</cp:lastPrinted>
  <dcterms:modified xsi:type="dcterms:W3CDTF">2023-03-17T14:30:32Z</dcterms:modified>
  <cp:revision>60</cp:revision>
  <dc:subject/>
  <dc:title>Приказ Минфина России от 28.12.2010 N 191н(ред. от 09.12.2022)"Об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19693)(с изм. и доп., вступ. в силу с 22.02.2023)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