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«____»___________________2022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Управление строительства и жилищно-коммунального хозяйства администрации города Канска за 2021 год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2022 год.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>
        <w:rPr>
          <w:rFonts w:ascii="Times New Roman" w:hAnsi="Times New Roman"/>
          <w:sz w:val="28"/>
          <w:szCs w:val="28"/>
        </w:rPr>
        <w:t>главный администратор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бюджета, главный распорядитель бюджетных средств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строительства и жилищно-коммунального хозяйства 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УС и ЖКХ).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_DdeLink__296_8727265"/>
      <w:r>
        <w:rPr>
          <w:rFonts w:ascii="Times New Roman" w:hAnsi="Times New Roman"/>
          <w:sz w:val="28"/>
          <w:szCs w:val="28"/>
        </w:rPr>
        <w:t>экспертно-аналитическое мероприятие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2021 год.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2021 год установлено следующее.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Бюджетная отчетность за 2021 год представлена в финансовое управление администрации города Канска 20.01.2022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sz w:val="28"/>
          <w:szCs w:val="28"/>
        </w:rPr>
        <w:t>УС и ЖКХ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2021 год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представлена                           в Контрольно-счетную комиссию города Канска в срок, в соответствии с Решением Канского городского Совета депутатов Красноярского края от 20.02.2008 № 41-409 «О Положении о бюджетном процессе в городе Канске».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Ведение бюджетного учета УС и ЖКХ в 2021 году осуществлялось бухгалтером, состоящим в штате подведомственного учреждения МКУ «Служба заказчика» на основании заключенного договора на бухгалтерское обслуживание от 29.12.2013 № 51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Ведение бухгалтерского и налогового учета МБУ «Содержание объектов благоустройства и озеленения» осуществляет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МКУ «Служба заказчика» на основании заключенного договора на бухгалтерское обслуживание от 31.08.2020 № 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Организация бюджетного учета осуществляется на основе приказа «Об учетной политике». Для автоматизированного ведения бухгалтерского учета применяется программа «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1С: Предприятие 8.3» конфигурация «Бухгалтерия государственного учреждения», редакция 2.0 Начисление заработной платы ведется в программе «1С8: Зарплата и кадры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бюджетного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учреждения».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Решением Канского городского Совета депутатов от 23.12.2020                               № 4-24 «О бюджете города Канска на 2021 год и плановый период 2022 – 2023 годов», УС и ЖКХ администрации г. Канска отражено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Таким образом, в состав бюджетной отчетности  УС и ЖКХ администрации г. Канска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06.12.2011 № 402 «О бухгалтерском учете» и п. 7 Инструкции № 191н для исполнения обязанности проведения инвентаризации материальных активов и обязательств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 администрации г. Канска создана постоянно действующая комиссия, которой была проведена инвентаризация, расхождений по результатам не выявлено.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2021 год: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казенные учреждения 0503166, 0503167, 0503172, 0503174, 0503296, таблицы 1, 6;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- бюджетные учреждения 0503295, 0503738-НП, 0503771, 0503772, 0503790, таблица 6. </w:t>
      </w:r>
    </w:p>
    <w:p>
      <w:pPr>
        <w:pStyle w:val="ListParagraph"/>
        <w:tabs>
          <w:tab w:val="clear" w:pos="4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color w:val="111111"/>
          <w:sz w:val="28"/>
          <w:szCs w:val="28"/>
        </w:rPr>
        <w:t>Казенные учреждения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Доходная часть исполнена на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99,74 %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, план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12 486 593,00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рубля и факт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12 453 863,64 </w:t>
      </w:r>
      <w:r>
        <w:rPr>
          <w:rFonts w:cs="Times New Roman" w:ascii="Times New Roman" w:hAnsi="Times New Roman"/>
          <w:color w:val="111111"/>
          <w:sz w:val="28"/>
          <w:szCs w:val="28"/>
        </w:rPr>
        <w:t>рубля (ф. 0503164).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" w:ascii="Times New Roman" w:hAnsi="Times New Roman"/>
          <w:color w:val="111111"/>
          <w:kern w:val="0"/>
          <w:sz w:val="28"/>
          <w:szCs w:val="28"/>
          <w:lang w:val="ru-RU" w:eastAsia="en-US" w:bidi="ar-SA"/>
        </w:rPr>
        <w:t xml:space="preserve">Неисполненные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назначения в сумме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32 729,36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Решением Канского городского Совета депутатов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от 23.12.2020                               № 4-24 «О бюджете города Канска на 2021 год и плановый период 2022 – 2023 годов»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УС и ЖКХ администрации г. Канска с учетом МКУ «Служба заказчика» утверждены бюджетные ассигнования в объеме </w:t>
      </w:r>
      <w:r>
        <w:rPr>
          <w:rFonts w:eastAsia="Times New Roman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344 347 917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,00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рублей. Вследствие корректировок бюджетных назначений план ассигнований увеличился на  </w:t>
      </w:r>
      <w:r>
        <w:rPr>
          <w:rFonts w:eastAsia="Times New Roman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510 976 924,59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рубля и составил </w:t>
      </w:r>
      <w:r>
        <w:rPr>
          <w:rFonts w:eastAsia="Times New Roman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855 324 841,59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рубль.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830 210 593,45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97,06 %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25 114 248,14 </w:t>
      </w:r>
      <w:r>
        <w:rPr>
          <w:rFonts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641 790,69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заявительный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 xml:space="preserve"> характер субсидирования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на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компенсацию расходов, возникающих в результате небольшой интенсивности пассажиропотоков по муниципальным маршрутам;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4 218 184,02</w:t>
      </w:r>
      <w:r>
        <w:rPr>
          <w:rFonts w:ascii="Times New Roman" w:hAnsi="Times New Roman"/>
          <w:color w:val="000000"/>
          <w:sz w:val="28"/>
          <w:szCs w:val="28"/>
        </w:rPr>
        <w:t xml:space="preserve"> рубля заявительный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 xml:space="preserve"> характер субсидирования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на 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еализацию отдельных мер по обеспечению ограничения платы граждан за коммунальные услуги (в соответствии с Законом края от 1 декабря 2014 года № 7-2839)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13 896 468,85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рублей оплата работ по факту на основании актов выполненных работ (б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лагоустройство объектов городской среды; уличное освещение; 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Канска, и другое)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- 6 357 804,58 рубля экономия сложившаяся по результатам проведения конкурсных процедур на 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бустройство мест (площадок) накопления отходов потребления и (или) приобретение контейнерного оборудования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 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беспечение мероприятий по переселению граждан из аварийного жилищного фонда за счет средств государственной корпорации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en-US"/>
        </w:rPr>
        <w:t xml:space="preserve">;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ероприятия по благоустройству территорий.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Показатели бюджетной сметы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 xml:space="preserve"> УС и ЖКХ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сформированы                      в разрезе кодов расходов бюджетной классификации. Расходы на содержание 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>УС и ЖКХ</w:t>
      </w:r>
      <w:r>
        <w:rPr>
          <w:rFonts w:cs="Times New Roman" w:ascii="Times New Roman" w:hAnsi="Times New Roman"/>
          <w:sz w:val="28"/>
          <w:szCs w:val="28"/>
        </w:rPr>
        <w:t xml:space="preserve">, предусмотренные бюджетной сметой, соответствуют расчетам                к ней. Утвержденные показатели бюджетной сметы соответствуют доведенным до него лимитам бюджетных обязательств.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i/>
          <w:iCs/>
          <w:color w:val="111111"/>
          <w:kern w:val="0"/>
          <w:sz w:val="28"/>
          <w:szCs w:val="28"/>
          <w:lang w:val="ru-RU" w:eastAsia="en-US" w:bidi="ar-SA"/>
        </w:rPr>
        <w:t>Бюджетные</w:t>
      </w:r>
      <w:r>
        <w:rPr>
          <w:rFonts w:cs="Times New Roman" w:ascii="Times New Roman" w:hAnsi="Times New Roman"/>
          <w:i/>
          <w:iCs/>
          <w:color w:val="111111"/>
          <w:sz w:val="28"/>
          <w:szCs w:val="28"/>
        </w:rPr>
        <w:t xml:space="preserve"> учреждения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Исполнение плана финансово-хозяйственной деятельности в разрезе источников финансирования и результатах деятельности учреждения отражено в ф. 0503737 «Отчет об исполнении учреждением плана его финансово-хозяйственной деятельности».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1. Субсидии на выполнение государственного (муниципального) задания.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Доходная часть исполнена на 100 %, план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7 541 188,00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рублей и факт  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 7 541 188,00 </w:t>
      </w:r>
      <w:r>
        <w:rPr>
          <w:rFonts w:cs="Times New Roman" w:ascii="Times New Roman" w:hAnsi="Times New Roman"/>
          <w:color w:val="111111"/>
          <w:sz w:val="28"/>
          <w:szCs w:val="28"/>
        </w:rPr>
        <w:t>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Расходная часть исполнена на 97,6 %, план </w:t>
      </w:r>
      <w:r>
        <w:rPr>
          <w:rFonts w:eastAsia="Calibri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en-US" w:bidi="ar-SA"/>
        </w:rPr>
        <w:t>7 549 054,28</w:t>
      </w:r>
      <w:r>
        <w:rPr>
          <w:rFonts w:eastAsia="Calibri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 рубля и факт  </w:t>
      </w:r>
      <w:r>
        <w:rPr>
          <w:rFonts w:eastAsia="Calibri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en-US" w:bidi="ar-SA"/>
        </w:rPr>
        <w:t xml:space="preserve"> 7 367 421,55 </w:t>
      </w:r>
      <w:r>
        <w:rPr>
          <w:rFonts w:eastAsia="Calibri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>рубль.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Неисполненные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назначения в сумме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181 632,73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рубля экономия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lang w:eastAsia="ru-RU"/>
        </w:rPr>
        <w:t>онда оплаты труда учреждений и взносов по обязательному социальному страхованию на выплаты по оплате труда работников и иные выплаты работникам учреждений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2. Субсидии на иные цели.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Доходная часть исполнена на 100 %, план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79 105 633,30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рубля и факт  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 79 105 633,30 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рубля.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Расходная часть исполнена на 97,9 %, план </w:t>
      </w:r>
      <w:r>
        <w:rPr>
          <w:rFonts w:eastAsia="Calibri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en-US" w:bidi="ar-SA"/>
        </w:rPr>
        <w:t>79 105 633,30</w:t>
      </w:r>
      <w:r>
        <w:rPr>
          <w:rFonts w:eastAsia="Calibri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 рубля и факт  </w:t>
      </w:r>
      <w:r>
        <w:rPr>
          <w:rFonts w:eastAsia="Calibri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en-US" w:bidi="ar-SA"/>
        </w:rPr>
        <w:t xml:space="preserve"> 77 455 633,30</w:t>
      </w:r>
      <w:r>
        <w:rPr>
          <w:rFonts w:eastAsia="Calibri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 рубля.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eastAsia="Calibri" w:cs="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Неисполненные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назначения в сумме</w:t>
      </w:r>
      <w:r>
        <w:rPr>
          <w:rFonts w:eastAsia="Times New Roman" w:cs="Times New Roman" w:ascii="Times New Roman" w:hAnsi="Times New Roman"/>
          <w:b/>
          <w:bCs w:val="false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1 650 000,00</w:t>
      </w:r>
      <w:r>
        <w:rPr>
          <w:rFonts w:eastAsia="Times New Roman" w:cs="Times New Roman" w:ascii="Times New Roman" w:hAnsi="Times New Roman"/>
          <w:b/>
          <w:bCs w:val="false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рублей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ru-RU" w:bidi="ar-SA"/>
        </w:rPr>
        <w:t>приобретено транспортное средство - трактор, оплата и постановка на учет в 2022 году.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6"/>
        <w:ind w:left="0" w:right="0" w:firstLine="709"/>
        <w:contextualSpacing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Казенные учреждения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Дебиторская задолженность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на 01.01.20</w:t>
      </w:r>
      <w:r>
        <w:rPr>
          <w:rFonts w:ascii="Times New Roman" w:hAnsi="Times New Roman"/>
          <w:b w:val="false"/>
          <w:bCs w:val="false"/>
          <w:sz w:val="28"/>
          <w:szCs w:val="28"/>
          <w:lang w:val="en-US" w:eastAsia="ru-RU"/>
        </w:rPr>
        <w:t>22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 составила в сумме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ru-RU" w:bidi="ar-SA"/>
        </w:rPr>
        <w:t>7 924 072,38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рубля (на 01.01.2021 — 30 936 707,97 рублей) в том числе: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- 3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3 945 333,94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рубля дебиторская задолженность по социальному найму (на 01.01.2021 в сумме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30 873 308,13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рублей). Данная задолженность выросла на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3 072 025,81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рублей в связи с неплатежеспособностью населения. В том числе просроченная задолженность в сумме</w:t>
      </w:r>
      <w:r>
        <w:rPr>
          <w:rFonts w:eastAsia="Calibri" w:cs="" w:ascii="Times New Roman" w:hAnsi="Times New Roman" w:cstheme="minorBidi" w:eastAsia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ru-RU" w:bidi="ar-SA"/>
        </w:rPr>
        <w:t>4 497 776,21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 рублей;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 xml:space="preserve">- 1 650 000, 00 рублей неиспользованный остаток целевой субсидии текущего характера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МБУ «СОБиО»;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- 10 580,49 рублей задолженность образованная на 01.01.2021 года при расчетах с ФСС в части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превышения произведенных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 работодателем выплат пособий, по которым в 2021 году предусмотрено возмещение из ФСС,  в связи с переходом на осуществление прямых выплат;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- 8 759,26 рублей переплата по расчетам по страховым взносам на обязательное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пенсионное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 страхование на выплату страховой части трудовой пенсии;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- 2 309 398,69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работы, услуги по содержанию имущества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.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 сравнении с данными на 01.01.2021 года увеличилась дебиторская задолженность, бюджет не дополучил доходы.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В 2021 году проводилась работа по взысканию задолженности по социальному найму жилья, было направлено в мировой суд 382 исковых заявления на общую сумму               12 519 063,01 рубля. По результатам работы в бюджет на 01.01.2022 года поступило 1 127 084,12 рубля.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Просроченная дебиторская задолженность на 01.01.2022 года по данным формы 0503169 в сумме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en-US" w:bidi="ar-SA"/>
        </w:rPr>
        <w:t>4 497 776,21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рублей.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Данная задолженность сложилась из-за срока исковой давности, которая образовалась до 2018 года, так как лицевые счета на муниципальные квартиры находятся в аварийных домах и в приватизированных квартирах.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 на 01.01.2022 года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сложилась в сумме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7 608,13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рублей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(на 01.01.2021 — 8 986,41 рублей)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в том числе: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6 946,03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рублей </w:t>
      </w:r>
      <w:r>
        <w:rPr>
          <w:rFonts w:eastAsia="Calibri" w:cs="" w:ascii="Times New Roman" w:hAnsi="Times New Roman" w:cstheme="minorBid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начисление на выплаты по оплате труда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- 662,10 рубля услуги связи.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Оплата по муниципальным контрактам предусмотрена в январе 2022 года.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На 01.01.2022 года были начислены резервы предстоящих расходов на оплату отпускных с начислениями фондов в размере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1 466 441,95 рубль               (ф. 0503121 стр. 560, 0503130 стр. 520, ф. 0503169). Другие резервы в учреждении не формировались.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i/>
          <w:i/>
          <w:iCs/>
        </w:rPr>
      </w:pPr>
      <w:bookmarkStart w:id="1" w:name="__DdeLink__204_1892366468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Просроченной и долгосрочной кредиторской задолженности на 01.01.2022 года по данным формы 0503169 нет.</w:t>
      </w:r>
      <w:bookmarkEnd w:id="1"/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i/>
          <w:i/>
          <w:iCs/>
          <w:color w:val="111111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111111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111111"/>
          <w:kern w:val="0"/>
          <w:sz w:val="28"/>
          <w:szCs w:val="28"/>
          <w:lang w:val="ru-RU" w:eastAsia="en-US" w:bidi="ar-SA"/>
        </w:rPr>
        <w:t>Бюджетные</w:t>
      </w: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8"/>
          <w:szCs w:val="28"/>
        </w:rPr>
        <w:t xml:space="preserve"> учреждения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 xml:space="preserve">Дебиторская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кредиторская задолженности на 01.01.2022 года по данным формы 0503759, 0503769 отсутствуют. Также отсутствует просроченная и долгосрочная задолженности.</w:t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На 01.01.2022 года были начислены резервы предстоящих расходов на оплату отпускных с начислениями фондов в размере 445 690,89 рублей.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11111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не выявлены факты неполного заполнения форм бюджетной отчетности.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В связи с увеличением дебиторской задолженности по социальному найму жилья бюджет города Канска не дополучил доход в сумме                  33 945 333,94 рубля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Управлению строительства и жилищно-коммунального хозяйства администрации города Канска усилить контроль по снижению  задолженности по социальному найму жилья.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bookmarkStart w:id="2" w:name="__DdeLink__476_399226720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Направить заключение о результатах внешней проверки бюджетной отчетности Управлению строительства и жилищно-коммунального хозяйства администрации города Канска.</w:t>
      </w:r>
      <w:bookmarkStart w:id="3" w:name="OLE_LINK3"/>
      <w:bookmarkStart w:id="4" w:name="OLE_LINK4"/>
      <w:bookmarkEnd w:id="3"/>
      <w:bookmarkEnd w:id="4"/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bookmarkStart w:id="5" w:name="__DdeLink__1846_568437142"/>
      <w:r>
        <w:rPr>
          <w:rFonts w:cs="Times New Roman" w:ascii="Times New Roman" w:hAnsi="Times New Roman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  <w:bookmarkEnd w:id="5"/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7492231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20.12.2021 № 105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4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6a5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a66277"/>
    <w:rPr>
      <w:rFonts w:ascii="Tahoma" w:hAnsi="Tahoma" w:cs="Tahoma"/>
      <w:sz w:val="16"/>
      <w:szCs w:val="16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character" w:styleId="Style24">
    <w:name w:val="Интернет-ссылка"/>
    <w:basedOn w:val="DefaultParagraphFont"/>
    <w:rPr>
      <w:color w:val="0000FF"/>
      <w:u w:val="single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662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8c5b53"/>
    <w:pPr>
      <w:widowControl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BA63-8E54-4584-9664-EF48C7D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Application>LibreOffice/6.3.6.2$Windows_x86 LibreOffice_project/2196df99b074d8a661f4036fca8fa0cbfa33a497</Application>
  <Pages>6</Pages>
  <Words>1515</Words>
  <Characters>9918</Characters>
  <CharactersWithSpaces>11835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2017-03-20T08:11:00Z</dcterms:created>
  <dc:creator>sk</dc:creator>
  <dc:description/>
  <dc:language>ru-RU</dc:language>
  <cp:lastModifiedBy/>
  <cp:lastPrinted>2021-03-30T11:32:00Z</cp:lastPrinted>
  <dcterms:modified xsi:type="dcterms:W3CDTF">2022-04-08T10:14:22Z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