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60"/>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КОНТРОЛЬНО-СЧЕТНАЯ КОМИССИЯ ГОРОДА КАНСКА</w:t>
      </w:r>
    </w:p>
    <w:p>
      <w:pPr>
        <w:pStyle w:val="Normal"/>
        <w:pBdr>
          <w:top w:val="double" w:sz="6" w:space="1" w:color="000000"/>
        </w:pBdr>
        <w:spacing w:before="0" w:after="120"/>
        <w:jc w:val="center"/>
        <w:rPr>
          <w:rFonts w:ascii="Times New Roman" w:hAnsi="Times New Roman" w:cs="Times New Roman"/>
          <w:sz w:val="26"/>
          <w:szCs w:val="26"/>
        </w:rPr>
      </w:pPr>
      <w:r>
        <w:rPr>
          <w:rFonts w:cs="Times New Roman" w:ascii="Times New Roman" w:hAnsi="Times New Roman"/>
          <w:sz w:val="26"/>
          <w:szCs w:val="26"/>
        </w:rPr>
      </w:r>
    </w:p>
    <w:p>
      <w:pPr>
        <w:pStyle w:val="Normal"/>
        <w:pBdr>
          <w:top w:val="double" w:sz="6" w:space="1" w:color="000000"/>
        </w:pBdr>
        <w:spacing w:lineRule="auto" w:line="240" w:before="0" w:after="0"/>
        <w:ind w:firstLine="4820"/>
        <w:rPr>
          <w:rFonts w:ascii="Times New Roman" w:hAnsi="Times New Roman" w:cs="Times New Roman"/>
          <w:sz w:val="26"/>
          <w:szCs w:val="26"/>
        </w:rPr>
      </w:pPr>
      <w:r>
        <w:rPr>
          <w:rFonts w:cs="Times New Roman" w:ascii="Times New Roman" w:hAnsi="Times New Roman"/>
          <w:sz w:val="26"/>
          <w:szCs w:val="26"/>
        </w:rPr>
        <w:t>Утверждаю</w:t>
      </w:r>
    </w:p>
    <w:p>
      <w:pPr>
        <w:pStyle w:val="Normal"/>
        <w:pBdr>
          <w:top w:val="double" w:sz="6" w:space="1" w:color="000000"/>
        </w:pBdr>
        <w:spacing w:lineRule="auto" w:line="240" w:before="0" w:after="0"/>
        <w:ind w:firstLine="4820"/>
        <w:rPr>
          <w:rFonts w:ascii="Times New Roman" w:hAnsi="Times New Roman" w:cs="Times New Roman"/>
          <w:sz w:val="26"/>
          <w:szCs w:val="26"/>
        </w:rPr>
      </w:pPr>
      <w:r>
        <w:rPr>
          <w:rFonts w:cs="Times New Roman" w:ascii="Times New Roman" w:hAnsi="Times New Roman"/>
          <w:sz w:val="26"/>
          <w:szCs w:val="26"/>
        </w:rPr>
        <w:t xml:space="preserve">Председатель Контрольно-счетной </w:t>
      </w:r>
    </w:p>
    <w:p>
      <w:pPr>
        <w:pStyle w:val="Normal"/>
        <w:pBdr>
          <w:top w:val="double" w:sz="6" w:space="1" w:color="000000"/>
        </w:pBdr>
        <w:spacing w:lineRule="auto" w:line="240" w:before="0" w:after="0"/>
        <w:ind w:firstLine="4820"/>
        <w:rPr>
          <w:rFonts w:ascii="Times New Roman" w:hAnsi="Times New Roman" w:cs="Times New Roman"/>
          <w:sz w:val="26"/>
          <w:szCs w:val="26"/>
        </w:rPr>
      </w:pPr>
      <w:r>
        <w:rPr>
          <w:rFonts w:cs="Times New Roman" w:ascii="Times New Roman" w:hAnsi="Times New Roman"/>
          <w:sz w:val="26"/>
          <w:szCs w:val="26"/>
        </w:rPr>
        <w:t>комиссии города Канска</w:t>
      </w:r>
    </w:p>
    <w:p>
      <w:pPr>
        <w:pStyle w:val="Normal"/>
        <w:pBdr>
          <w:top w:val="double" w:sz="6" w:space="1" w:color="000000"/>
        </w:pBdr>
        <w:spacing w:lineRule="auto" w:line="240" w:before="0" w:after="0"/>
        <w:ind w:firstLine="4820"/>
        <w:rPr>
          <w:rFonts w:ascii="Times New Roman" w:hAnsi="Times New Roman" w:cs="Times New Roman"/>
          <w:sz w:val="26"/>
          <w:szCs w:val="26"/>
        </w:rPr>
      </w:pPr>
      <w:r>
        <w:rPr>
          <w:rFonts w:cs="Times New Roman" w:ascii="Times New Roman" w:hAnsi="Times New Roman"/>
          <w:sz w:val="26"/>
          <w:szCs w:val="26"/>
        </w:rPr>
        <w:t xml:space="preserve">Е.В.  Парфенова                                </w:t>
      </w:r>
    </w:p>
    <w:p>
      <w:pPr>
        <w:pStyle w:val="Normal"/>
        <w:pBdr>
          <w:top w:val="double" w:sz="6" w:space="1" w:color="000000"/>
        </w:pBdr>
        <w:spacing w:before="0" w:after="120"/>
        <w:jc w:val="center"/>
        <w:rPr/>
      </w:pPr>
      <w:r>
        <w:rPr>
          <w:rFonts w:cs="Times New Roman" w:ascii="Times New Roman" w:hAnsi="Times New Roman"/>
          <w:sz w:val="26"/>
          <w:szCs w:val="26"/>
        </w:rPr>
        <w:t xml:space="preserve">                                                       </w:t>
      </w:r>
      <w:r>
        <w:rPr>
          <w:rFonts w:cs="Times New Roman" w:ascii="Times New Roman" w:hAnsi="Times New Roman"/>
          <w:sz w:val="26"/>
          <w:szCs w:val="26"/>
        </w:rPr>
        <w:t>«____»_______________2022</w:t>
      </w:r>
    </w:p>
    <w:p>
      <w:pPr>
        <w:pStyle w:val="Normal"/>
        <w:pBdr>
          <w:top w:val="double" w:sz="6" w:space="1" w:color="000000"/>
        </w:pBdr>
        <w:spacing w:before="0" w:after="12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ЗАКЛЮЧЕНИЕ</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по результатам внешней проверки годовой бюджетной отчетности  </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Комитета по управлению муниципального имущества города Канска</w:t>
      </w:r>
    </w:p>
    <w:p>
      <w:pPr>
        <w:pStyle w:val="Normal"/>
        <w:spacing w:lineRule="auto" w:line="240" w:before="0" w:after="0"/>
        <w:jc w:val="center"/>
        <w:rPr/>
      </w:pPr>
      <w:r>
        <w:rPr>
          <w:rFonts w:eastAsia="Times New Roman" w:cs="Times New Roman" w:ascii="Times New Roman" w:hAnsi="Times New Roman"/>
          <w:b/>
          <w:sz w:val="28"/>
          <w:szCs w:val="28"/>
          <w:lang w:eastAsia="ru-RU"/>
        </w:rPr>
        <w:t>за 2021 год</w:t>
      </w:r>
    </w:p>
    <w:p>
      <w:pPr>
        <w:pStyle w:val="Normal"/>
        <w:spacing w:lineRule="auto" w:line="240" w:before="0" w:after="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widowControl w:val="false"/>
        <w:tabs>
          <w:tab w:val="clear" w:pos="408"/>
          <w:tab w:val="left" w:pos="993" w:leader="none"/>
        </w:tabs>
        <w:spacing w:lineRule="auto" w:line="276" w:before="0" w:after="0"/>
        <w:ind w:left="0" w:right="0" w:firstLine="709"/>
        <w:contextualSpacing/>
        <w:jc w:val="both"/>
        <w:rPr/>
      </w:pPr>
      <w:r>
        <w:rPr>
          <w:rFonts w:cs="Times New Roman" w:ascii="Times New Roman" w:hAnsi="Times New Roman"/>
          <w:b/>
          <w:sz w:val="28"/>
          <w:szCs w:val="28"/>
        </w:rPr>
        <w:t>Основание для проведения проверки:</w:t>
      </w:r>
      <w:r>
        <w:rPr>
          <w:rFonts w:cs="Times New Roman" w:ascii="Times New Roman" w:hAnsi="Times New Roman"/>
          <w:sz w:val="28"/>
          <w:szCs w:val="28"/>
        </w:rPr>
        <w:t xml:space="preserve"> статья 264.4 Бюджетного кодекса Российской Федерации, пункт 4 статьи 44 Положения о бюджетном процессе в городе Канске</w:t>
      </w:r>
      <w:r>
        <w:rPr>
          <w:rFonts w:cs="Times New Roman" w:ascii="Times New Roman" w:hAnsi="Times New Roman"/>
          <w:b w:val="false"/>
          <w:bCs w:val="false"/>
          <w:sz w:val="28"/>
          <w:szCs w:val="28"/>
        </w:rPr>
        <w:t>,</w:t>
      </w:r>
      <w:r>
        <w:rPr>
          <w:rFonts w:cs="Times New Roman" w:ascii="Times New Roman" w:hAnsi="Times New Roman"/>
          <w:b/>
          <w:sz w:val="28"/>
          <w:szCs w:val="28"/>
        </w:rPr>
        <w:t xml:space="preserve"> </w:t>
      </w:r>
      <w:r>
        <w:rPr>
          <w:rFonts w:cs="Times New Roman" w:ascii="Times New Roman" w:hAnsi="Times New Roman"/>
          <w:sz w:val="28"/>
          <w:szCs w:val="28"/>
        </w:rPr>
        <w:t>пункт 1.</w:t>
      </w:r>
      <w:r>
        <w:rPr>
          <w:rFonts w:eastAsia="Calibri" w:cs="Times New Roman" w:ascii="Times New Roman" w:hAnsi="Times New Roman"/>
          <w:color w:val="auto"/>
          <w:kern w:val="0"/>
          <w:sz w:val="28"/>
          <w:szCs w:val="28"/>
          <w:lang w:val="ru-RU" w:eastAsia="en-US" w:bidi="ar-SA"/>
        </w:rPr>
        <w:t>2</w:t>
      </w:r>
      <w:r>
        <w:rPr>
          <w:rFonts w:cs="Times New Roman" w:ascii="Times New Roman" w:hAnsi="Times New Roman"/>
          <w:sz w:val="28"/>
          <w:szCs w:val="28"/>
        </w:rPr>
        <w:t xml:space="preserve"> плана работы Контрольно-счетной комиссии города Канска на 2022 год.</w:t>
      </w:r>
    </w:p>
    <w:p>
      <w:pPr>
        <w:pStyle w:val="Normal"/>
        <w:widowControl w:val="false"/>
        <w:tabs>
          <w:tab w:val="clear" w:pos="408"/>
          <w:tab w:val="left" w:pos="993" w:leader="none"/>
        </w:tabs>
        <w:spacing w:lineRule="auto" w:line="276" w:before="0" w:after="0"/>
        <w:ind w:left="0" w:right="0" w:firstLine="709"/>
        <w:contextualSpacing/>
        <w:jc w:val="both"/>
        <w:rPr/>
      </w:pPr>
      <w:r>
        <w:rPr>
          <w:rFonts w:cs="Times New Roman" w:ascii="Times New Roman" w:hAnsi="Times New Roman"/>
          <w:b/>
          <w:sz w:val="28"/>
          <w:szCs w:val="28"/>
        </w:rPr>
        <w:t>Объект проверки:</w:t>
      </w:r>
      <w:r>
        <w:rPr>
          <w:rFonts w:cs="Times New Roman" w:ascii="Times New Roman" w:hAnsi="Times New Roman"/>
          <w:sz w:val="28"/>
          <w:szCs w:val="28"/>
        </w:rPr>
        <w:t xml:space="preserve"> </w:t>
      </w:r>
      <w:r>
        <w:rPr>
          <w:rFonts w:cs="Times New Roman" w:ascii="Times New Roman" w:hAnsi="Times New Roman"/>
          <w:i w:val="false"/>
          <w:iCs w:val="false"/>
          <w:sz w:val="28"/>
          <w:szCs w:val="28"/>
        </w:rPr>
        <w:t>главный администратор средств</w:t>
      </w:r>
      <w:r>
        <w:rPr>
          <w:rFonts w:cs="Times New Roman" w:ascii="Times New Roman" w:hAnsi="Times New Roman"/>
          <w:b/>
          <w:i w:val="false"/>
          <w:iCs w:val="false"/>
          <w:sz w:val="28"/>
          <w:szCs w:val="28"/>
        </w:rPr>
        <w:t xml:space="preserve"> </w:t>
      </w:r>
      <w:r>
        <w:rPr>
          <w:rFonts w:cs="Times New Roman" w:ascii="Times New Roman" w:hAnsi="Times New Roman"/>
          <w:i w:val="false"/>
          <w:iCs w:val="false"/>
          <w:sz w:val="28"/>
          <w:szCs w:val="28"/>
        </w:rPr>
        <w:t>городского бюджета, главный распорядитель бюджетных средств</w:t>
      </w:r>
      <w:r>
        <w:rPr>
          <w:rFonts w:cs="Times New Roman" w:ascii="Times New Roman" w:hAnsi="Times New Roman"/>
          <w:sz w:val="28"/>
          <w:szCs w:val="28"/>
        </w:rPr>
        <w:t xml:space="preserve"> (далее – ГРБС) – Комитет по управлению муниципальным имуществом города Канска (далее – </w:t>
      </w:r>
      <w:r>
        <w:rPr>
          <w:rFonts w:eastAsia="Times New Roman" w:cs="Times New Roman" w:ascii="Times New Roman" w:hAnsi="Times New Roman"/>
          <w:sz w:val="28"/>
          <w:szCs w:val="28"/>
          <w:lang w:eastAsia="ru-RU"/>
        </w:rPr>
        <w:t>КУМИ города Канска).</w:t>
      </w:r>
    </w:p>
    <w:p>
      <w:pPr>
        <w:pStyle w:val="Normal"/>
        <w:widowControl w:val="false"/>
        <w:tabs>
          <w:tab w:val="clear" w:pos="408"/>
          <w:tab w:val="left" w:pos="993" w:leader="none"/>
        </w:tabs>
        <w:spacing w:lineRule="auto" w:line="276" w:before="0" w:after="0"/>
        <w:ind w:left="0" w:right="0" w:firstLine="709"/>
        <w:contextualSpacing/>
        <w:jc w:val="both"/>
        <w:rPr/>
      </w:pPr>
      <w:r>
        <w:rPr>
          <w:rFonts w:ascii="Times New Roman" w:hAnsi="Times New Roman"/>
          <w:b/>
          <w:sz w:val="28"/>
          <w:szCs w:val="28"/>
        </w:rPr>
        <w:t>Цель проверки:</w:t>
      </w:r>
      <w:r>
        <w:rPr>
          <w:rFonts w:ascii="Times New Roman" w:hAnsi="Times New Roman"/>
          <w:sz w:val="28"/>
          <w:szCs w:val="28"/>
        </w:rPr>
        <w:t xml:space="preserve"> контроль за достоверностью, полнотой и соответствием нормативным требованиям, составления и представления бюджетной отчетности, проводимый на основе информации содержащейся в бюджетной отчетности.</w:t>
      </w:r>
    </w:p>
    <w:p>
      <w:pPr>
        <w:pStyle w:val="ListParagraph"/>
        <w:widowControl w:val="false"/>
        <w:tabs>
          <w:tab w:val="clear" w:pos="408"/>
          <w:tab w:val="left" w:pos="993" w:leader="none"/>
        </w:tabs>
        <w:spacing w:lineRule="auto" w:line="276" w:before="0" w:after="0"/>
        <w:ind w:left="0" w:right="0" w:firstLine="709"/>
        <w:contextualSpacing/>
        <w:jc w:val="both"/>
        <w:rPr/>
      </w:pPr>
      <w:r>
        <w:rPr>
          <w:rFonts w:ascii="Times New Roman" w:hAnsi="Times New Roman"/>
          <w:b/>
          <w:sz w:val="28"/>
          <w:szCs w:val="28"/>
        </w:rPr>
        <w:t>Форма проверки:</w:t>
      </w:r>
      <w:r>
        <w:rPr>
          <w:rFonts w:ascii="Times New Roman" w:hAnsi="Times New Roman"/>
          <w:sz w:val="28"/>
          <w:szCs w:val="28"/>
        </w:rPr>
        <w:t xml:space="preserve"> экспертно-аналитическое мероприятие.</w:t>
      </w:r>
    </w:p>
    <w:p>
      <w:pPr>
        <w:pStyle w:val="ListParagraph"/>
        <w:widowControl w:val="false"/>
        <w:tabs>
          <w:tab w:val="clear" w:pos="408"/>
          <w:tab w:val="left" w:pos="993" w:leader="none"/>
        </w:tabs>
        <w:spacing w:lineRule="auto" w:line="276" w:before="0" w:after="0"/>
        <w:ind w:left="0" w:right="0" w:firstLine="709"/>
        <w:contextualSpacing/>
        <w:jc w:val="both"/>
        <w:rPr/>
      </w:pPr>
      <w:r>
        <w:rPr>
          <w:rFonts w:ascii="Times New Roman" w:hAnsi="Times New Roman"/>
          <w:b/>
          <w:sz w:val="28"/>
          <w:szCs w:val="28"/>
        </w:rPr>
        <w:t>Проверяемый период:</w:t>
      </w:r>
      <w:r>
        <w:rPr>
          <w:rFonts w:ascii="Times New Roman" w:hAnsi="Times New Roman"/>
          <w:sz w:val="28"/>
          <w:szCs w:val="28"/>
        </w:rPr>
        <w:t xml:space="preserve"> 2021 год.</w:t>
      </w:r>
    </w:p>
    <w:p>
      <w:pPr>
        <w:pStyle w:val="ListParagraph"/>
        <w:widowControl w:val="false"/>
        <w:tabs>
          <w:tab w:val="clear" w:pos="408"/>
          <w:tab w:val="left" w:pos="993" w:leader="none"/>
        </w:tabs>
        <w:spacing w:lineRule="auto" w:line="276" w:before="0" w:after="0"/>
        <w:ind w:left="0" w:right="0" w:firstLine="709"/>
        <w:contextualSpacing/>
        <w:jc w:val="both"/>
        <w:rPr>
          <w:rFonts w:ascii="Times New Roman" w:hAnsi="Times New Roman"/>
          <w:sz w:val="28"/>
          <w:szCs w:val="28"/>
        </w:rPr>
      </w:pPr>
      <w:r>
        <w:rPr>
          <w:rFonts w:ascii="Times New Roman" w:hAnsi="Times New Roman"/>
          <w:sz w:val="28"/>
          <w:szCs w:val="28"/>
        </w:rPr>
      </w:r>
    </w:p>
    <w:p>
      <w:pPr>
        <w:pStyle w:val="Normal"/>
        <w:spacing w:lineRule="auto" w:line="276" w:before="0" w:after="0"/>
        <w:ind w:left="0" w:right="0" w:firstLine="709"/>
        <w:contextualSpacing/>
        <w:jc w:val="both"/>
        <w:rPr/>
      </w:pPr>
      <w:r>
        <w:rPr>
          <w:rFonts w:eastAsia="Times New Roman" w:cs="Times New Roman" w:ascii="Times New Roman" w:hAnsi="Times New Roman"/>
          <w:i w:val="false"/>
          <w:iCs w:val="false"/>
          <w:sz w:val="28"/>
          <w:szCs w:val="28"/>
          <w:lang w:eastAsia="ru-RU"/>
        </w:rPr>
        <w:t>В результате проверки бюджетной отчетности за 2021 год установлено следующее.</w:t>
      </w:r>
    </w:p>
    <w:p>
      <w:pPr>
        <w:pStyle w:val="Normal"/>
        <w:spacing w:lineRule="auto" w:line="276" w:before="0" w:after="0"/>
        <w:ind w:left="0" w:right="0" w:firstLine="709"/>
        <w:contextualSpacing/>
        <w:jc w:val="both"/>
        <w:rPr/>
      </w:pPr>
      <w:r>
        <w:rPr>
          <w:rFonts w:eastAsia="Times New Roman" w:cs="Times New Roman" w:ascii="Times New Roman" w:hAnsi="Times New Roman"/>
          <w:i w:val="false"/>
          <w:iCs w:val="false"/>
          <w:sz w:val="28"/>
          <w:szCs w:val="28"/>
          <w:lang w:eastAsia="ru-RU"/>
        </w:rPr>
        <w:t xml:space="preserve">1. Бюджетная отчетность </w:t>
      </w:r>
      <w:bookmarkStart w:id="0" w:name="__DdeLink__404_4090705744"/>
      <w:r>
        <w:rPr>
          <w:rFonts w:eastAsia="Times New Roman" w:cs="Times New Roman" w:ascii="Times New Roman" w:hAnsi="Times New Roman"/>
          <w:i w:val="false"/>
          <w:iCs w:val="false"/>
          <w:sz w:val="28"/>
          <w:szCs w:val="28"/>
          <w:lang w:eastAsia="ru-RU"/>
        </w:rPr>
        <w:t>КУМИ города Канска</w:t>
      </w:r>
      <w:bookmarkEnd w:id="0"/>
      <w:r>
        <w:rPr>
          <w:rFonts w:ascii="Times New Roman" w:hAnsi="Times New Roman"/>
          <w:i w:val="false"/>
          <w:iCs w:val="false"/>
          <w:sz w:val="28"/>
          <w:szCs w:val="28"/>
        </w:rPr>
        <w:t xml:space="preserve"> за 2021 год</w:t>
      </w:r>
      <w:r>
        <w:rPr>
          <w:rFonts w:eastAsia="Times New Roman" w:cs="Times New Roman" w:ascii="Times New Roman" w:hAnsi="Times New Roman"/>
          <w:i w:val="false"/>
          <w:iCs w:val="false"/>
          <w:sz w:val="28"/>
          <w:szCs w:val="28"/>
          <w:lang w:eastAsia="ru-RU"/>
        </w:rPr>
        <w:t xml:space="preserve"> представлена в финансовое управление администрации города Канска 21.01.2022 года, что соответствует срокам ее предоставления, установленным финансовым управлением администрации города Канска.</w:t>
      </w:r>
      <w:r>
        <w:rPr>
          <w:rStyle w:val="Style18"/>
          <w:rFonts w:eastAsia="Times New Roman" w:cs="Times New Roman" w:ascii="Times New Roman" w:hAnsi="Times New Roman"/>
          <w:i w:val="false"/>
          <w:iCs w:val="false"/>
          <w:sz w:val="28"/>
          <w:szCs w:val="28"/>
          <w:lang w:eastAsia="ru-RU"/>
        </w:rPr>
        <w:footnoteReference w:id="2"/>
      </w:r>
    </w:p>
    <w:p>
      <w:pPr>
        <w:pStyle w:val="Normal"/>
        <w:spacing w:lineRule="auto" w:line="276" w:before="0" w:after="0"/>
        <w:ind w:left="0" w:right="0" w:firstLine="709"/>
        <w:contextualSpacing/>
        <w:jc w:val="both"/>
        <w:rPr/>
      </w:pPr>
      <w:r>
        <w:rPr>
          <w:rFonts w:eastAsia="Times New Roman" w:cs="Times New Roman" w:ascii="Times New Roman" w:hAnsi="Times New Roman"/>
          <w:i w:val="false"/>
          <w:iCs w:val="false"/>
          <w:sz w:val="28"/>
          <w:szCs w:val="28"/>
          <w:lang w:eastAsia="ru-RU"/>
        </w:rPr>
        <w:t xml:space="preserve">2. Бюджетная отчетность за 2021 год представлена в Контрольно-счетную комиссию своевременно в соответствии с положением о бюджетном процессе в городе Канске. </w:t>
      </w:r>
    </w:p>
    <w:p>
      <w:pPr>
        <w:pStyle w:val="Normal"/>
        <w:spacing w:lineRule="auto" w:line="276" w:before="0" w:after="0"/>
        <w:ind w:left="0" w:right="0" w:firstLine="709"/>
        <w:contextualSpacing/>
        <w:jc w:val="both"/>
        <w:rPr/>
      </w:pPr>
      <w:r>
        <w:rPr>
          <w:rFonts w:eastAsia="Times New Roman" w:cs="Times New Roman" w:ascii="Times New Roman" w:hAnsi="Times New Roman"/>
          <w:sz w:val="28"/>
          <w:szCs w:val="28"/>
          <w:lang w:eastAsia="ru-RU"/>
        </w:rPr>
        <w:t>3. Ведение бюджетного учета в 2021 году осуществляется самостоятельным юридическим лицом МКУ «ЦБ» на основании заключенного договора  от 19.01.2016 № 06 «О бухгалтерском обслуживании».</w:t>
      </w:r>
    </w:p>
    <w:p>
      <w:pPr>
        <w:pStyle w:val="Normal"/>
        <w:spacing w:lineRule="auto" w:line="276" w:before="0" w:after="0"/>
        <w:ind w:left="0" w:right="0" w:firstLine="709"/>
        <w:contextualSpacing/>
        <w:jc w:val="both"/>
        <w:rPr/>
      </w:pPr>
      <w:r>
        <w:rPr>
          <w:rFonts w:eastAsia="Times New Roman" w:cs="Times New Roman" w:ascii="Times New Roman" w:hAnsi="Times New Roman"/>
          <w:i w:val="false"/>
          <w:iCs w:val="false"/>
          <w:sz w:val="28"/>
          <w:szCs w:val="28"/>
          <w:lang w:eastAsia="ru-RU"/>
        </w:rPr>
        <w:t>4. Состав бюджетной отчетности соответствует составу бюджетной отчетности, утвержденной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по тексту – Инструкция № 191н).</w:t>
      </w:r>
    </w:p>
    <w:p>
      <w:pPr>
        <w:pStyle w:val="Normal"/>
        <w:spacing w:lineRule="auto" w:line="276" w:before="0" w:after="0"/>
        <w:ind w:left="0" w:right="0" w:firstLine="709"/>
        <w:contextualSpacing/>
        <w:jc w:val="both"/>
        <w:rPr/>
      </w:pPr>
      <w:r>
        <w:rPr>
          <w:rFonts w:eastAsia="Times New Roman" w:cs="Times New Roman" w:ascii="Times New Roman" w:hAnsi="Times New Roman"/>
          <w:sz w:val="28"/>
          <w:szCs w:val="28"/>
          <w:lang w:eastAsia="ru-RU"/>
        </w:rPr>
        <w:t xml:space="preserve">Согласно п. 1 Инструкции № 191н ГРБС, наиболее значимые учреждения науки, образования, культуры и здравоохранения, указанные в ведомственной структуре расходов соответствующего бюджета составляют и представляют годовую, квартальную и месячную отчетность об исполнении бюджетов бюджетной системы Российской Федерации (далее бюджетная отчетность) по формам согласно приложению к настоящей Инструкции. </w:t>
      </w:r>
    </w:p>
    <w:p>
      <w:pPr>
        <w:pStyle w:val="Normal"/>
        <w:spacing w:lineRule="auto" w:line="276" w:before="0" w:after="0"/>
        <w:ind w:left="0" w:right="0" w:firstLine="709"/>
        <w:contextualSpacing/>
        <w:jc w:val="both"/>
        <w:rPr/>
      </w:pPr>
      <w:r>
        <w:rPr>
          <w:rFonts w:eastAsia="Times New Roman" w:cs="Times New Roman" w:ascii="Times New Roman" w:hAnsi="Times New Roman"/>
          <w:sz w:val="28"/>
          <w:szCs w:val="28"/>
          <w:lang w:eastAsia="ru-RU"/>
        </w:rPr>
        <w:t xml:space="preserve">Решением Канского городского Совета депутатов от 23.12.2020            № 4-24 </w:t>
      </w:r>
      <w:r>
        <w:rPr>
          <w:rFonts w:eastAsia="Times New Roman" w:cs="Times New Roman" w:ascii="Times New Roman" w:hAnsi="Times New Roman"/>
          <w:b w:val="false"/>
          <w:bCs w:val="false"/>
          <w:sz w:val="28"/>
          <w:szCs w:val="28"/>
          <w:lang w:eastAsia="ru-RU"/>
        </w:rPr>
        <w:t xml:space="preserve">«О бюджете города Канска на 2021 год и плановый период 2022-2023 годов», </w:t>
      </w:r>
      <w:r>
        <w:rPr>
          <w:rFonts w:eastAsia="Times New Roman" w:cs="Times New Roman" w:ascii="Times New Roman" w:hAnsi="Times New Roman"/>
          <w:b w:val="false"/>
          <w:bCs w:val="false"/>
          <w:i w:val="false"/>
          <w:iCs w:val="false"/>
          <w:sz w:val="28"/>
          <w:szCs w:val="28"/>
          <w:lang w:eastAsia="ru-RU"/>
        </w:rPr>
        <w:t>КУМИ города Канска</w:t>
      </w:r>
      <w:r>
        <w:rPr>
          <w:rFonts w:eastAsia="Times New Roman" w:cs="Times New Roman" w:ascii="Times New Roman" w:hAnsi="Times New Roman"/>
          <w:b w:val="false"/>
          <w:bCs w:val="false"/>
          <w:sz w:val="28"/>
          <w:szCs w:val="28"/>
          <w:lang w:eastAsia="ru-RU"/>
        </w:rPr>
        <w:t xml:space="preserve"> отражена в ведомственной структуре расходов городского бюджета как главный распорядитель бюджетных средств.</w:t>
      </w:r>
    </w:p>
    <w:p>
      <w:pPr>
        <w:pStyle w:val="Normal"/>
        <w:spacing w:lineRule="auto" w:line="276" w:before="0" w:after="0"/>
        <w:ind w:left="0" w:right="0" w:firstLine="709"/>
        <w:contextualSpacing/>
        <w:jc w:val="both"/>
        <w:rPr/>
      </w:pPr>
      <w:r>
        <w:rPr>
          <w:rFonts w:eastAsia="Times New Roman" w:cs="Times New Roman" w:ascii="Times New Roman" w:hAnsi="Times New Roman"/>
          <w:b w:val="false"/>
          <w:bCs w:val="false"/>
          <w:sz w:val="28"/>
          <w:szCs w:val="28"/>
          <w:lang w:eastAsia="ru-RU"/>
        </w:rPr>
        <w:t xml:space="preserve">Таким образом, в состав бюджетной отчетности  </w:t>
      </w:r>
      <w:r>
        <w:rPr>
          <w:rFonts w:eastAsia="Times New Roman" w:cs="Times New Roman" w:ascii="Times New Roman" w:hAnsi="Times New Roman"/>
          <w:b w:val="false"/>
          <w:bCs w:val="false"/>
          <w:i w:val="false"/>
          <w:iCs w:val="false"/>
          <w:sz w:val="28"/>
          <w:szCs w:val="28"/>
          <w:lang w:eastAsia="ru-RU"/>
        </w:rPr>
        <w:t>КУМИ города Канска</w:t>
      </w:r>
      <w:r>
        <w:rPr>
          <w:rFonts w:eastAsia="Times New Roman" w:cs="Times New Roman" w:ascii="Times New Roman" w:hAnsi="Times New Roman"/>
          <w:b w:val="false"/>
          <w:bCs w:val="false"/>
          <w:sz w:val="28"/>
          <w:szCs w:val="28"/>
          <w:lang w:eastAsia="ru-RU"/>
        </w:rPr>
        <w:t xml:space="preserve"> включаются формы бюджетной отчетности, указанные в п. 11.1 Инструкции № 191н.</w:t>
      </w:r>
    </w:p>
    <w:p>
      <w:pPr>
        <w:pStyle w:val="Normal"/>
        <w:spacing w:lineRule="auto" w:line="276" w:before="0" w:after="0"/>
        <w:ind w:left="0" w:right="0" w:firstLine="709"/>
        <w:contextualSpacing/>
        <w:jc w:val="both"/>
        <w:rPr/>
      </w:pPr>
      <w:r>
        <w:rPr>
          <w:rFonts w:cs="Times New Roman" w:ascii="Times New Roman" w:hAnsi="Times New Roman"/>
          <w:color w:val="000000"/>
          <w:sz w:val="28"/>
          <w:szCs w:val="28"/>
        </w:rPr>
        <w:t xml:space="preserve">В соответствии с Федеральным законом от 06.12.2011 № 402 «О бухгалтерском учете» и п. 7 Инструкции № 191н для исполнения обязанности проведения инвентаризации материальных активов и обязательств  </w:t>
      </w:r>
      <w:r>
        <w:rPr>
          <w:rFonts w:eastAsia="Times New Roman" w:cs="Times New Roman" w:ascii="Times New Roman" w:hAnsi="Times New Roman"/>
          <w:color w:val="000000"/>
          <w:sz w:val="28"/>
          <w:szCs w:val="28"/>
          <w:lang w:eastAsia="ru-RU"/>
        </w:rPr>
        <w:t xml:space="preserve">КУМИ города Канска </w:t>
      </w:r>
      <w:r>
        <w:rPr>
          <w:rFonts w:eastAsia="Times New Roman" w:cs="Times New Roman" w:ascii="Times New Roman" w:hAnsi="Times New Roman"/>
          <w:b w:val="false"/>
          <w:bCs w:val="false"/>
          <w:color w:val="000000"/>
          <w:sz w:val="28"/>
          <w:szCs w:val="28"/>
          <w:lang w:eastAsia="ru-RU"/>
        </w:rPr>
        <w:t>создана постоянно действующая комиссия, которой была проведена инвентаризация, расхождений по результатам не выявлено.</w:t>
      </w:r>
    </w:p>
    <w:p>
      <w:pPr>
        <w:pStyle w:val="Normal"/>
        <w:spacing w:lineRule="auto" w:line="276" w:before="0" w:after="0"/>
        <w:ind w:left="0" w:right="0" w:firstLine="709"/>
        <w:contextualSpacing/>
        <w:jc w:val="both"/>
        <w:rPr/>
      </w:pPr>
      <w:r>
        <w:rPr>
          <w:rFonts w:eastAsia="Times New Roman" w:cs="Times New Roman" w:ascii="Times New Roman" w:hAnsi="Times New Roman"/>
          <w:b w:val="false"/>
          <w:bCs w:val="false"/>
          <w:color w:val="000000"/>
          <w:sz w:val="28"/>
          <w:szCs w:val="28"/>
          <w:lang w:eastAsia="ru-RU"/>
        </w:rPr>
        <w:t xml:space="preserve">П. 8 Инструкции № 191н,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  </w:t>
      </w:r>
    </w:p>
    <w:p>
      <w:pPr>
        <w:pStyle w:val="Normal"/>
        <w:spacing w:lineRule="auto" w:line="276" w:before="0" w:after="0"/>
        <w:ind w:left="0" w:right="0" w:firstLine="709"/>
        <w:contextualSpacing/>
        <w:jc w:val="both"/>
        <w:rPr/>
      </w:pPr>
      <w:r>
        <w:rPr>
          <w:rFonts w:eastAsia="Times New Roman" w:cs="Times New Roman" w:ascii="Times New Roman" w:hAnsi="Times New Roman"/>
          <w:b w:val="false"/>
          <w:bCs w:val="false"/>
          <w:color w:val="000000"/>
          <w:sz w:val="28"/>
          <w:szCs w:val="28"/>
          <w:lang w:eastAsia="ru-RU"/>
        </w:rPr>
        <w:t>В пояснительной записке к отчетности, не составлялись, в связи с отсутствием числовых показателей в отчете, следующие формы годовой бюджетной отчетности за 2020 год:</w:t>
      </w:r>
      <w:r>
        <w:rPr>
          <w:rFonts w:eastAsia="Times New Roman" w:cs="Times New Roman" w:ascii="Times New Roman" w:hAnsi="Times New Roman"/>
          <w:b w:val="false"/>
          <w:bCs w:val="false"/>
          <w:i w:val="false"/>
          <w:iCs w:val="false"/>
          <w:color w:val="000000"/>
          <w:sz w:val="28"/>
          <w:szCs w:val="28"/>
          <w:lang w:eastAsia="ru-RU"/>
        </w:rPr>
        <w:t xml:space="preserve"> </w:t>
      </w:r>
      <w:r>
        <w:rPr>
          <w:rFonts w:eastAsia="Times New Roman" w:cs="Times New Roman" w:ascii="Times New Roman" w:hAnsi="Times New Roman"/>
          <w:b w:val="false"/>
          <w:bCs w:val="false"/>
          <w:i w:val="false"/>
          <w:iCs w:val="false"/>
          <w:color w:val="000000"/>
          <w:kern w:val="0"/>
          <w:sz w:val="28"/>
          <w:szCs w:val="28"/>
          <w:lang w:val="ru-RU" w:eastAsia="ru-RU" w:bidi="ar-SA"/>
        </w:rPr>
        <w:t>0503184, 0503166, 0503167, 0503173, 0503191, 0503192, 0503193, 0503172</w:t>
      </w:r>
      <w:r>
        <w:rPr>
          <w:rFonts w:eastAsia="Times New Roman" w:cs="Times New Roman" w:ascii="Times New Roman" w:hAnsi="Times New Roman"/>
          <w:b w:val="false"/>
          <w:bCs w:val="false"/>
          <w:i w:val="false"/>
          <w:iCs w:val="false"/>
          <w:color w:val="000000"/>
          <w:sz w:val="28"/>
          <w:szCs w:val="28"/>
          <w:lang w:eastAsia="ru-RU"/>
        </w:rPr>
        <w:t>, таблица 6.</w:t>
      </w:r>
    </w:p>
    <w:p>
      <w:pPr>
        <w:pStyle w:val="Normal"/>
        <w:tabs>
          <w:tab w:val="clear" w:pos="408"/>
          <w:tab w:val="left" w:pos="709" w:leader="none"/>
        </w:tabs>
        <w:spacing w:lineRule="auto" w:line="276" w:before="0" w:after="0"/>
        <w:ind w:firstLine="709"/>
        <w:jc w:val="both"/>
        <w:rPr/>
      </w:pPr>
      <w:r>
        <w:rPr>
          <w:rFonts w:cs="Times New Roman" w:ascii="Times New Roman" w:hAnsi="Times New Roman"/>
          <w:sz w:val="28"/>
          <w:szCs w:val="28"/>
        </w:rPr>
        <w:t xml:space="preserve">Согласно Сведений об исполнении судебных решений по денежным обязательствам бюджета (ф. 0503296) в 2021 году </w:t>
      </w:r>
      <w:r>
        <w:rPr>
          <w:rFonts w:cs="Times New Roman" w:ascii="Times New Roman" w:hAnsi="Times New Roman"/>
          <w:sz w:val="28"/>
          <w:szCs w:val="28"/>
        </w:rPr>
        <w:t>К</w:t>
      </w:r>
      <w:r>
        <w:rPr>
          <w:rFonts w:eastAsia="Times New Roman" w:cs="Times New Roman" w:ascii="Times New Roman" w:hAnsi="Times New Roman"/>
          <w:i w:val="false"/>
          <w:iCs w:val="false"/>
          <w:color w:val="000000"/>
          <w:sz w:val="28"/>
          <w:szCs w:val="28"/>
          <w:lang w:eastAsia="ru-RU"/>
        </w:rPr>
        <w:t>У</w:t>
      </w:r>
      <w:r>
        <w:rPr>
          <w:rFonts w:eastAsia="Times New Roman" w:cs="Times New Roman" w:ascii="Times New Roman" w:hAnsi="Times New Roman"/>
          <w:i w:val="false"/>
          <w:iCs w:val="false"/>
          <w:color w:val="000000"/>
          <w:sz w:val="28"/>
          <w:szCs w:val="28"/>
          <w:lang w:eastAsia="ru-RU"/>
        </w:rPr>
        <w:t>МИ</w:t>
      </w:r>
      <w:r>
        <w:rPr>
          <w:rFonts w:eastAsia="Times New Roman" w:cs="Times New Roman" w:ascii="Times New Roman" w:hAnsi="Times New Roman"/>
          <w:i w:val="false"/>
          <w:iCs w:val="false"/>
          <w:color w:val="000000"/>
          <w:sz w:val="28"/>
          <w:szCs w:val="28"/>
          <w:lang w:eastAsia="ru-RU"/>
        </w:rPr>
        <w:t xml:space="preserve"> администрации             г. Канска</w:t>
      </w:r>
      <w:r>
        <w:rPr>
          <w:rFonts w:cs="Times New Roman" w:ascii="Times New Roman" w:hAnsi="Times New Roman"/>
          <w:i/>
          <w:sz w:val="28"/>
          <w:szCs w:val="28"/>
        </w:rPr>
        <w:t xml:space="preserve"> </w:t>
      </w:r>
      <w:r>
        <w:rPr>
          <w:rFonts w:cs="Times New Roman" w:ascii="Times New Roman" w:hAnsi="Times New Roman"/>
          <w:sz w:val="28"/>
          <w:szCs w:val="28"/>
        </w:rPr>
        <w:t xml:space="preserve">за счет средств городского бюджета были оплачены исполнительные листы на общую сумму </w:t>
      </w:r>
      <w:bookmarkStart w:id="1" w:name="__DdeLink__1677_2027727631"/>
      <w:r>
        <w:rPr>
          <w:rFonts w:cs="Times New Roman" w:ascii="Times New Roman" w:hAnsi="Times New Roman"/>
          <w:b/>
          <w:bCs/>
          <w:sz w:val="28"/>
          <w:szCs w:val="28"/>
        </w:rPr>
        <w:t>6</w:t>
      </w:r>
      <w:bookmarkEnd w:id="1"/>
      <w:r>
        <w:rPr>
          <w:rFonts w:cs="Times New Roman" w:ascii="Times New Roman" w:hAnsi="Times New Roman"/>
          <w:b/>
          <w:bCs/>
          <w:sz w:val="28"/>
          <w:szCs w:val="28"/>
        </w:rPr>
        <w:t>4 000</w:t>
      </w:r>
      <w:r>
        <w:rPr>
          <w:rFonts w:eastAsia="Calibri" w:cs="Times New Roman" w:ascii="Times New Roman" w:hAnsi="Times New Roman" w:eastAsiaTheme="minorHAnsi"/>
          <w:b/>
          <w:bCs/>
          <w:color w:val="auto"/>
          <w:kern w:val="0"/>
          <w:sz w:val="28"/>
          <w:szCs w:val="28"/>
          <w:lang w:val="ru-RU" w:eastAsia="en-US" w:bidi="ar-SA"/>
        </w:rPr>
        <w:t>,00</w:t>
      </w:r>
      <w:r>
        <w:rPr>
          <w:rFonts w:cs="Times New Roman" w:ascii="Times New Roman" w:hAnsi="Times New Roman"/>
          <w:b/>
          <w:sz w:val="28"/>
          <w:szCs w:val="28"/>
        </w:rPr>
        <w:t xml:space="preserve"> </w:t>
      </w:r>
      <w:r>
        <w:rPr>
          <w:rFonts w:cs="Times New Roman" w:ascii="Times New Roman" w:hAnsi="Times New Roman"/>
          <w:b w:val="false"/>
          <w:bCs w:val="false"/>
          <w:sz w:val="28"/>
          <w:szCs w:val="28"/>
        </w:rPr>
        <w:t>рублей</w:t>
      </w:r>
      <w:r>
        <w:rPr>
          <w:rFonts w:cs="Times New Roman" w:ascii="Times New Roman" w:hAnsi="Times New Roman"/>
          <w:color w:val="auto"/>
          <w:sz w:val="28"/>
          <w:szCs w:val="28"/>
        </w:rPr>
        <w:t>.</w:t>
      </w:r>
    </w:p>
    <w:p>
      <w:pPr>
        <w:pStyle w:val="Normal"/>
        <w:tabs>
          <w:tab w:val="clear" w:pos="408"/>
          <w:tab w:val="left" w:pos="709" w:leader="none"/>
        </w:tabs>
        <w:spacing w:lineRule="auto" w:line="276" w:before="0" w:after="0"/>
        <w:ind w:firstLine="709"/>
        <w:jc w:val="both"/>
        <w:rPr/>
      </w:pPr>
      <w:r>
        <w:rPr>
          <w:rFonts w:eastAsia="Times New Roman" w:cs="Times New Roman" w:ascii="Times New Roman" w:hAnsi="Times New Roman"/>
          <w:b w:val="false"/>
          <w:bCs w:val="false"/>
          <w:i w:val="false"/>
          <w:iCs w:val="false"/>
          <w:color w:val="000000"/>
          <w:sz w:val="28"/>
          <w:szCs w:val="28"/>
          <w:lang w:eastAsia="ru-RU"/>
        </w:rPr>
        <w:t>Оплата расходов по исполнительным листам, является дополнительной нагрузкой на бюджет города и противоречит принципу эффективности использования бюджетных средств, установленному ст. 34 Бюджетного кодекса РФ.</w:t>
      </w:r>
    </w:p>
    <w:p>
      <w:pPr>
        <w:pStyle w:val="Normal"/>
        <w:tabs>
          <w:tab w:val="clear" w:pos="408"/>
          <w:tab w:val="left" w:pos="709" w:leader="none"/>
        </w:tabs>
        <w:spacing w:lineRule="auto" w:line="276"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408"/>
          <w:tab w:val="left" w:pos="709" w:leader="none"/>
        </w:tabs>
        <w:spacing w:lineRule="auto" w:line="276" w:before="0" w:after="0"/>
        <w:ind w:firstLine="567"/>
        <w:jc w:val="center"/>
        <w:rPr/>
      </w:pPr>
      <w:r>
        <w:rPr>
          <w:rFonts w:ascii="Times New Roman" w:hAnsi="Times New Roman"/>
          <w:b/>
          <w:sz w:val="28"/>
          <w:szCs w:val="28"/>
        </w:rPr>
        <w:t>Оценка исполнения бюджета, соблюдения бюджетного законодательства.</w:t>
      </w:r>
    </w:p>
    <w:p>
      <w:pPr>
        <w:pStyle w:val="Normal"/>
        <w:tabs>
          <w:tab w:val="clear" w:pos="408"/>
          <w:tab w:val="left" w:pos="709" w:leader="none"/>
        </w:tabs>
        <w:spacing w:lineRule="auto" w:line="276" w:before="0" w:after="0"/>
        <w:ind w:firstLine="567"/>
        <w:jc w:val="center"/>
        <w:rPr>
          <w:rFonts w:ascii="Times New Roman" w:hAnsi="Times New Roman"/>
          <w:b/>
          <w:b/>
          <w:sz w:val="28"/>
          <w:szCs w:val="28"/>
        </w:rPr>
      </w:pPr>
      <w:r>
        <w:rPr>
          <w:rFonts w:ascii="Times New Roman" w:hAnsi="Times New Roman"/>
          <w:b/>
          <w:sz w:val="28"/>
          <w:szCs w:val="28"/>
        </w:rPr>
      </w:r>
    </w:p>
    <w:p>
      <w:pPr>
        <w:pStyle w:val="Normal"/>
        <w:tabs>
          <w:tab w:val="clear" w:pos="408"/>
          <w:tab w:val="left" w:pos="709" w:leader="none"/>
        </w:tabs>
        <w:spacing w:lineRule="auto" w:line="276" w:before="0" w:after="0"/>
        <w:ind w:firstLine="567"/>
        <w:jc w:val="both"/>
        <w:rPr/>
      </w:pPr>
      <w:r>
        <w:rPr>
          <w:rFonts w:cs="Times New Roman" w:ascii="Times New Roman" w:hAnsi="Times New Roman"/>
          <w:i w:val="false"/>
          <w:iCs w:val="false"/>
          <w:color w:val="111111"/>
          <w:sz w:val="28"/>
          <w:szCs w:val="28"/>
        </w:rPr>
        <w:t xml:space="preserve">Доходная часть исполнена на </w:t>
      </w:r>
      <w:r>
        <w:rPr>
          <w:rFonts w:cs="Times New Roman" w:ascii="Times New Roman" w:hAnsi="Times New Roman"/>
          <w:b/>
          <w:bCs/>
          <w:i w:val="false"/>
          <w:iCs w:val="false"/>
          <w:color w:val="111111"/>
          <w:sz w:val="28"/>
          <w:szCs w:val="28"/>
        </w:rPr>
        <w:t>115,79 %</w:t>
      </w:r>
      <w:r>
        <w:rPr>
          <w:rFonts w:cs="Times New Roman" w:ascii="Times New Roman" w:hAnsi="Times New Roman"/>
          <w:i w:val="false"/>
          <w:iCs w:val="false"/>
          <w:color w:val="111111"/>
          <w:sz w:val="28"/>
          <w:szCs w:val="28"/>
        </w:rPr>
        <w:t xml:space="preserve">, план </w:t>
      </w:r>
      <w:r>
        <w:rPr>
          <w:rFonts w:cs="Times New Roman" w:ascii="Times New Roman" w:hAnsi="Times New Roman"/>
          <w:b/>
          <w:bCs/>
          <w:i w:val="false"/>
          <w:iCs w:val="false"/>
          <w:color w:val="111111"/>
          <w:sz w:val="28"/>
          <w:szCs w:val="28"/>
        </w:rPr>
        <w:t xml:space="preserve">51 502 649,40 </w:t>
      </w:r>
      <w:r>
        <w:rPr>
          <w:rFonts w:cs="Times New Roman" w:ascii="Times New Roman" w:hAnsi="Times New Roman"/>
          <w:i w:val="false"/>
          <w:iCs w:val="false"/>
          <w:color w:val="111111"/>
          <w:sz w:val="28"/>
          <w:szCs w:val="28"/>
        </w:rPr>
        <w:t xml:space="preserve">рублей и факт </w:t>
      </w:r>
      <w:r>
        <w:rPr>
          <w:rFonts w:eastAsia="Calibri" w:cs="Times New Roman" w:ascii="Times New Roman" w:hAnsi="Times New Roman"/>
          <w:b/>
          <w:bCs/>
          <w:i w:val="false"/>
          <w:iCs w:val="false"/>
          <w:color w:val="111111"/>
          <w:kern w:val="0"/>
          <w:sz w:val="28"/>
          <w:szCs w:val="28"/>
          <w:lang w:val="ru-RU" w:eastAsia="en-US" w:bidi="ar-SA"/>
        </w:rPr>
        <w:t>59 634 764,68</w:t>
      </w:r>
      <w:r>
        <w:rPr>
          <w:rFonts w:cs="Times New Roman" w:ascii="Times New Roman" w:hAnsi="Times New Roman"/>
          <w:b/>
          <w:bCs/>
          <w:i w:val="false"/>
          <w:iCs w:val="false"/>
          <w:color w:val="111111"/>
          <w:sz w:val="28"/>
          <w:szCs w:val="28"/>
        </w:rPr>
        <w:t xml:space="preserve"> </w:t>
      </w:r>
      <w:r>
        <w:rPr>
          <w:rFonts w:cs="Times New Roman" w:ascii="Times New Roman" w:hAnsi="Times New Roman"/>
          <w:i w:val="false"/>
          <w:iCs w:val="false"/>
          <w:color w:val="111111"/>
          <w:sz w:val="28"/>
          <w:szCs w:val="28"/>
        </w:rPr>
        <w:t>рубля (ф. 0503164).</w:t>
      </w:r>
    </w:p>
    <w:p>
      <w:pPr>
        <w:pStyle w:val="Normal"/>
        <w:tabs>
          <w:tab w:val="clear" w:pos="408"/>
          <w:tab w:val="left" w:pos="709" w:leader="none"/>
        </w:tabs>
        <w:spacing w:lineRule="auto" w:line="276" w:before="0" w:after="0"/>
        <w:ind w:firstLine="567"/>
        <w:jc w:val="both"/>
        <w:rPr/>
      </w:pPr>
      <w:r>
        <w:rPr>
          <w:rFonts w:eastAsia="Times New Roman" w:cs="Times New Roman" w:ascii="Times New Roman" w:hAnsi="Times New Roman"/>
          <w:i w:val="false"/>
          <w:iCs w:val="false"/>
          <w:sz w:val="28"/>
          <w:szCs w:val="28"/>
          <w:lang w:eastAsia="ru-RU"/>
        </w:rPr>
        <w:t xml:space="preserve">Решением Канского городского Совета депутатов </w:t>
      </w:r>
      <w:r>
        <w:rPr>
          <w:rFonts w:eastAsia="Calibri" w:cs="" w:ascii="Times New Roman" w:hAnsi="Times New Roman" w:cstheme="minorBidi" w:eastAsiaTheme="minorHAnsi"/>
          <w:i w:val="false"/>
          <w:iCs w:val="false"/>
          <w:sz w:val="28"/>
          <w:szCs w:val="28"/>
          <w:lang w:eastAsia="ru-RU"/>
        </w:rPr>
        <w:t xml:space="preserve">от 23.12.2020                               № 4-24 </w:t>
      </w:r>
      <w:r>
        <w:rPr>
          <w:rFonts w:eastAsia="Calibri" w:cs="" w:ascii="Times New Roman" w:hAnsi="Times New Roman" w:cstheme="minorBidi" w:eastAsiaTheme="minorHAnsi"/>
          <w:b w:val="false"/>
          <w:bCs w:val="false"/>
          <w:i w:val="false"/>
          <w:iCs w:val="false"/>
          <w:sz w:val="28"/>
          <w:szCs w:val="28"/>
          <w:lang w:eastAsia="ru-RU"/>
        </w:rPr>
        <w:t>«О бюджете города Канска на 2021 год и плановый период 2022 – 2023 годов»</w:t>
      </w:r>
      <w:r>
        <w:rPr>
          <w:rFonts w:eastAsia="Calibri" w:cs="" w:ascii="Times New Roman" w:hAnsi="Times New Roman" w:cstheme="minorBidi" w:eastAsiaTheme="minorHAnsi"/>
          <w:i w:val="false"/>
          <w:iCs w:val="false"/>
          <w:sz w:val="28"/>
          <w:szCs w:val="28"/>
          <w:lang w:eastAsia="ru-RU"/>
        </w:rPr>
        <w:t xml:space="preserve"> </w:t>
      </w:r>
      <w:r>
        <w:rPr>
          <w:rFonts w:eastAsia="Times New Roman" w:cs="Times New Roman" w:ascii="Times New Roman" w:hAnsi="Times New Roman"/>
          <w:sz w:val="28"/>
          <w:szCs w:val="28"/>
          <w:lang w:eastAsia="ru-RU"/>
        </w:rPr>
        <w:t>КУМИ города Канска</w:t>
      </w:r>
      <w:r>
        <w:rPr>
          <w:rFonts w:ascii="Times New Roman" w:hAnsi="Times New Roman"/>
          <w:i/>
          <w:sz w:val="28"/>
          <w:szCs w:val="28"/>
        </w:rPr>
        <w:t xml:space="preserve"> </w:t>
      </w:r>
      <w:r>
        <w:rPr>
          <w:rFonts w:ascii="Times New Roman" w:hAnsi="Times New Roman"/>
          <w:sz w:val="28"/>
          <w:szCs w:val="28"/>
        </w:rPr>
        <w:t xml:space="preserve">утверждены бюджетные ассигнования в объеме </w:t>
      </w:r>
      <w:r>
        <w:rPr>
          <w:rFonts w:ascii="Times New Roman" w:hAnsi="Times New Roman"/>
          <w:b/>
          <w:bCs/>
          <w:sz w:val="28"/>
          <w:szCs w:val="28"/>
        </w:rPr>
        <w:t xml:space="preserve">92 916 811,00 </w:t>
      </w:r>
      <w:r>
        <w:rPr>
          <w:rFonts w:ascii="Times New Roman" w:hAnsi="Times New Roman"/>
          <w:sz w:val="28"/>
          <w:szCs w:val="28"/>
        </w:rPr>
        <w:t xml:space="preserve">рублей.  </w:t>
      </w:r>
    </w:p>
    <w:p>
      <w:pPr>
        <w:pStyle w:val="Normal"/>
        <w:tabs>
          <w:tab w:val="clear" w:pos="408"/>
          <w:tab w:val="left" w:pos="709" w:leader="none"/>
        </w:tabs>
        <w:spacing w:lineRule="auto" w:line="276" w:before="0" w:after="0"/>
        <w:ind w:firstLine="567"/>
        <w:jc w:val="both"/>
        <w:rPr/>
      </w:pPr>
      <w:bookmarkStart w:id="2" w:name="__DdeLink__327_2671073178"/>
      <w:r>
        <w:rPr>
          <w:rFonts w:ascii="Times New Roman" w:hAnsi="Times New Roman"/>
          <w:sz w:val="28"/>
          <w:szCs w:val="28"/>
        </w:rPr>
        <w:t>Вследствие корректировок бюджетных назначений план ассигнований уменьшился на</w:t>
      </w:r>
      <w:bookmarkEnd w:id="2"/>
      <w:r>
        <w:rPr>
          <w:rFonts w:ascii="Times New Roman" w:hAnsi="Times New Roman"/>
          <w:b/>
          <w:sz w:val="28"/>
          <w:szCs w:val="28"/>
        </w:rPr>
        <w:t xml:space="preserve"> 29 802 624,85 </w:t>
      </w:r>
      <w:r>
        <w:rPr>
          <w:rFonts w:ascii="Times New Roman" w:hAnsi="Times New Roman"/>
          <w:sz w:val="28"/>
          <w:szCs w:val="28"/>
        </w:rPr>
        <w:t xml:space="preserve">рубля, и составил </w:t>
      </w:r>
      <w:bookmarkStart w:id="3" w:name="__DdeLink__525_3457916471"/>
      <w:r>
        <w:rPr>
          <w:rFonts w:ascii="Times New Roman" w:hAnsi="Times New Roman"/>
          <w:b/>
          <w:bCs/>
          <w:sz w:val="28"/>
          <w:szCs w:val="28"/>
        </w:rPr>
        <w:t xml:space="preserve"> 63 114 186,15 </w:t>
      </w:r>
      <w:r>
        <w:rPr>
          <w:rFonts w:ascii="Times New Roman" w:hAnsi="Times New Roman"/>
          <w:b w:val="false"/>
          <w:bCs w:val="false"/>
          <w:sz w:val="28"/>
          <w:szCs w:val="28"/>
        </w:rPr>
        <w:t xml:space="preserve">рублей.  </w:t>
      </w:r>
      <w:bookmarkEnd w:id="3"/>
    </w:p>
    <w:p>
      <w:pPr>
        <w:pStyle w:val="Normal"/>
        <w:widowControl w:val="false"/>
        <w:spacing w:lineRule="auto" w:line="276" w:before="0" w:after="0"/>
        <w:ind w:firstLine="567"/>
        <w:contextualSpacing/>
        <w:jc w:val="both"/>
        <w:rPr/>
      </w:pPr>
      <w:r>
        <w:rPr>
          <w:rFonts w:cs="Times New Roman" w:ascii="Times New Roman" w:hAnsi="Times New Roman"/>
          <w:b w:val="false"/>
          <w:bCs w:val="false"/>
          <w:sz w:val="28"/>
          <w:szCs w:val="28"/>
        </w:rPr>
        <w:t>По данным Отчета об исполнении бюджета главного распорядителя                   (ф. 0503127) исполнено через финансовый орган</w:t>
      </w:r>
      <w:r>
        <w:rPr>
          <w:rFonts w:ascii="Times New Roman" w:hAnsi="Times New Roman"/>
          <w:sz w:val="28"/>
          <w:szCs w:val="28"/>
        </w:rPr>
        <w:t xml:space="preserve"> </w:t>
      </w:r>
      <w:r>
        <w:rPr>
          <w:rFonts w:ascii="Times New Roman" w:hAnsi="Times New Roman"/>
          <w:b/>
          <w:bCs/>
          <w:sz w:val="28"/>
          <w:szCs w:val="28"/>
        </w:rPr>
        <w:t xml:space="preserve">51 216 323,11 </w:t>
      </w:r>
      <w:r>
        <w:rPr>
          <w:rFonts w:ascii="Times New Roman" w:hAnsi="Times New Roman"/>
          <w:b w:val="false"/>
          <w:bCs w:val="false"/>
          <w:sz w:val="28"/>
          <w:szCs w:val="28"/>
        </w:rPr>
        <w:t xml:space="preserve">рубля, что составляет </w:t>
      </w:r>
      <w:r>
        <w:rPr>
          <w:rFonts w:ascii="Times New Roman" w:hAnsi="Times New Roman"/>
          <w:b/>
          <w:bCs/>
          <w:sz w:val="28"/>
          <w:szCs w:val="28"/>
        </w:rPr>
        <w:t xml:space="preserve">84,15% </w:t>
      </w:r>
      <w:r>
        <w:rPr>
          <w:rFonts w:cs="Times New Roman" w:ascii="Times New Roman" w:hAnsi="Times New Roman"/>
          <w:b w:val="false"/>
          <w:bCs w:val="false"/>
          <w:sz w:val="28"/>
          <w:szCs w:val="28"/>
        </w:rPr>
        <w:t>от плановых назначений с учетом корректировок.</w:t>
      </w:r>
    </w:p>
    <w:p>
      <w:pPr>
        <w:pStyle w:val="Normal"/>
        <w:widowControl w:val="false"/>
        <w:spacing w:lineRule="auto" w:line="276" w:before="0" w:after="0"/>
        <w:ind w:firstLine="567"/>
        <w:contextualSpacing/>
        <w:jc w:val="both"/>
        <w:rPr/>
      </w:pPr>
      <w:r>
        <w:rPr>
          <w:rFonts w:cs="Times New Roman" w:ascii="Times New Roman" w:hAnsi="Times New Roman"/>
          <w:b w:val="false"/>
          <w:bCs w:val="false"/>
          <w:sz w:val="28"/>
          <w:szCs w:val="28"/>
        </w:rPr>
        <w:t xml:space="preserve">Представлена субсидия бюджету города Канска на обеспечение жилыми помещениями детей-сирот и детей, оставшихся без попечения родителей,        за счет средств краевого бюджета в рамках  отдельных мероприятий муниципальной программы города Канска «Обеспечение доступным                               и комфортным жильем жителей города Канска утверждено бюджетной росписью в сумме </w:t>
      </w:r>
      <w:r>
        <w:rPr>
          <w:rFonts w:cs="Times New Roman" w:ascii="Times New Roman" w:hAnsi="Times New Roman"/>
          <w:b/>
          <w:bCs/>
          <w:sz w:val="28"/>
          <w:szCs w:val="28"/>
        </w:rPr>
        <w:t>67 101 600,</w:t>
      </w:r>
      <w:r>
        <w:rPr>
          <w:rFonts w:cs="Times New Roman" w:ascii="Times New Roman" w:hAnsi="Times New Roman"/>
          <w:b/>
          <w:bCs w:val="false"/>
          <w:sz w:val="28"/>
          <w:szCs w:val="28"/>
        </w:rPr>
        <w:t xml:space="preserve"> 00 </w:t>
      </w:r>
      <w:r>
        <w:rPr>
          <w:rFonts w:cs="Times New Roman" w:ascii="Times New Roman" w:hAnsi="Times New Roman"/>
          <w:b w:val="false"/>
          <w:bCs w:val="false"/>
          <w:sz w:val="28"/>
          <w:szCs w:val="28"/>
        </w:rPr>
        <w:t xml:space="preserve">рублей. Вследствие корректировок бюджетных назначений план ассигнований уменьшился на </w:t>
      </w:r>
      <w:r>
        <w:rPr>
          <w:rFonts w:cs="Times New Roman" w:ascii="Times New Roman" w:hAnsi="Times New Roman"/>
          <w:b/>
          <w:bCs/>
          <w:sz w:val="28"/>
          <w:szCs w:val="28"/>
        </w:rPr>
        <w:t>41 290 336,96</w:t>
      </w:r>
      <w:r>
        <w:rPr>
          <w:rFonts w:cs="Times New Roman" w:ascii="Times New Roman" w:hAnsi="Times New Roman"/>
          <w:b w:val="false"/>
          <w:bCs w:val="false"/>
          <w:sz w:val="28"/>
          <w:szCs w:val="28"/>
        </w:rPr>
        <w:t xml:space="preserve"> рублей, и составил в сумме </w:t>
      </w:r>
      <w:r>
        <w:rPr>
          <w:rFonts w:cs="Times New Roman" w:ascii="Times New Roman" w:hAnsi="Times New Roman"/>
          <w:b/>
          <w:bCs/>
          <w:sz w:val="28"/>
          <w:szCs w:val="28"/>
        </w:rPr>
        <w:t xml:space="preserve">25 811 263,04 </w:t>
      </w:r>
      <w:r>
        <w:rPr>
          <w:rFonts w:cs="Times New Roman" w:ascii="Times New Roman" w:hAnsi="Times New Roman"/>
          <w:b w:val="false"/>
          <w:bCs w:val="false"/>
          <w:sz w:val="28"/>
          <w:szCs w:val="28"/>
        </w:rPr>
        <w:t xml:space="preserve">рубля, исполнено в сумме              </w:t>
      </w:r>
      <w:r>
        <w:rPr>
          <w:rFonts w:cs="Times New Roman" w:ascii="Times New Roman" w:hAnsi="Times New Roman"/>
          <w:b/>
          <w:bCs/>
          <w:sz w:val="28"/>
          <w:szCs w:val="28"/>
        </w:rPr>
        <w:t xml:space="preserve">14 063 400,00 </w:t>
      </w:r>
      <w:r>
        <w:rPr>
          <w:rFonts w:cs="Times New Roman" w:ascii="Times New Roman" w:hAnsi="Times New Roman"/>
          <w:b w:val="false"/>
          <w:bCs w:val="false"/>
          <w:sz w:val="28"/>
          <w:szCs w:val="28"/>
        </w:rPr>
        <w:t xml:space="preserve">рублей. </w:t>
      </w:r>
      <w:r>
        <w:rPr>
          <w:rFonts w:cs="Times New Roman" w:ascii="Times New Roman" w:hAnsi="Times New Roman"/>
          <w:b/>
          <w:bCs/>
          <w:sz w:val="28"/>
          <w:szCs w:val="28"/>
        </w:rPr>
        <w:t>Не исполненные</w:t>
      </w:r>
      <w:r>
        <w:rPr>
          <w:rFonts w:cs="Times New Roman" w:ascii="Times New Roman" w:hAnsi="Times New Roman"/>
          <w:b w:val="false"/>
          <w:bCs w:val="false"/>
          <w:sz w:val="28"/>
          <w:szCs w:val="28"/>
        </w:rPr>
        <w:t xml:space="preserve"> назначения в сумме                             </w:t>
      </w:r>
      <w:r>
        <w:rPr>
          <w:rFonts w:cs="Times New Roman" w:ascii="Times New Roman" w:hAnsi="Times New Roman"/>
          <w:b/>
          <w:bCs/>
          <w:sz w:val="28"/>
          <w:szCs w:val="28"/>
        </w:rPr>
        <w:t xml:space="preserve">11 747 863,04 </w:t>
      </w:r>
      <w:r>
        <w:rPr>
          <w:rFonts w:cs="Times New Roman" w:ascii="Times New Roman" w:hAnsi="Times New Roman"/>
          <w:b w:val="false"/>
          <w:bCs w:val="false"/>
          <w:sz w:val="28"/>
          <w:szCs w:val="28"/>
        </w:rPr>
        <w:t>рубля</w:t>
      </w:r>
      <w:r>
        <w:rPr>
          <w:rFonts w:cs="Times New Roman" w:ascii="Times New Roman" w:hAnsi="Times New Roman"/>
          <w:b/>
          <w:bCs/>
          <w:sz w:val="28"/>
          <w:szCs w:val="28"/>
        </w:rPr>
        <w:t xml:space="preserve"> </w:t>
      </w:r>
      <w:r>
        <w:rPr>
          <w:rFonts w:cs="Times New Roman" w:ascii="Times New Roman" w:hAnsi="Times New Roman"/>
          <w:b w:val="false"/>
          <w:bCs w:val="false"/>
          <w:sz w:val="28"/>
          <w:szCs w:val="28"/>
        </w:rPr>
        <w:t>или 54,49 %.</w:t>
      </w:r>
    </w:p>
    <w:p>
      <w:pPr>
        <w:pStyle w:val="Normal"/>
        <w:widowControl w:val="false"/>
        <w:spacing w:lineRule="auto" w:line="276" w:before="0" w:after="0"/>
        <w:ind w:firstLine="567"/>
        <w:contextualSpacing/>
        <w:jc w:val="both"/>
        <w:rPr/>
      </w:pPr>
      <w:r>
        <w:rPr>
          <w:rFonts w:ascii="Times New Roman" w:hAnsi="Times New Roman"/>
          <w:b/>
          <w:bCs/>
          <w:sz w:val="28"/>
          <w:szCs w:val="28"/>
        </w:rPr>
        <w:t>Не исполненные</w:t>
      </w:r>
      <w:r>
        <w:rPr>
          <w:rFonts w:cs="Times New Roman" w:ascii="Times New Roman" w:hAnsi="Times New Roman"/>
          <w:b w:val="false"/>
          <w:bCs w:val="false"/>
          <w:sz w:val="28"/>
          <w:szCs w:val="28"/>
        </w:rPr>
        <w:t xml:space="preserve"> назначений всего в сумме </w:t>
      </w:r>
      <w:r>
        <w:rPr>
          <w:rFonts w:cs="Times New Roman" w:ascii="Times New Roman" w:hAnsi="Times New Roman"/>
          <w:b/>
          <w:bCs/>
          <w:sz w:val="28"/>
          <w:szCs w:val="28"/>
        </w:rPr>
        <w:t xml:space="preserve">11 897 863,04 </w:t>
      </w:r>
      <w:r>
        <w:rPr>
          <w:rFonts w:cs="Times New Roman" w:ascii="Times New Roman" w:hAnsi="Times New Roman"/>
          <w:b w:val="false"/>
          <w:bCs w:val="false"/>
          <w:sz w:val="28"/>
          <w:szCs w:val="28"/>
        </w:rPr>
        <w:t>рубля или 84,15% в том числе:</w:t>
      </w:r>
    </w:p>
    <w:p>
      <w:pPr>
        <w:pStyle w:val="Normal"/>
        <w:widowControl w:val="false"/>
        <w:spacing w:lineRule="auto" w:line="276" w:before="0" w:after="0"/>
        <w:ind w:firstLine="567"/>
        <w:contextualSpacing/>
        <w:jc w:val="both"/>
        <w:rPr/>
      </w:pPr>
      <w:r>
        <w:rPr>
          <w:rFonts w:cs="Times New Roman" w:ascii="Times New Roman" w:hAnsi="Times New Roman"/>
          <w:b w:val="false"/>
          <w:bCs w:val="false"/>
          <w:sz w:val="28"/>
          <w:szCs w:val="28"/>
        </w:rPr>
        <w:t>11 747 863,04 рубля - причиной не исполнения является отсутствие на рынке недвижимости жилых помещений, соответствующих необходимым требованиям;</w:t>
      </w:r>
    </w:p>
    <w:p>
      <w:pPr>
        <w:pStyle w:val="Normal"/>
        <w:widowControl w:val="false"/>
        <w:spacing w:lineRule="auto" w:line="276" w:before="0" w:after="0"/>
        <w:ind w:firstLine="567"/>
        <w:contextualSpacing/>
        <w:jc w:val="both"/>
        <w:rPr/>
      </w:pPr>
      <w:r>
        <w:rPr>
          <w:rFonts w:cs="Times New Roman" w:ascii="Times New Roman" w:hAnsi="Times New Roman"/>
          <w:b w:val="false"/>
          <w:bCs w:val="false"/>
          <w:sz w:val="28"/>
          <w:szCs w:val="28"/>
        </w:rPr>
        <w:t>Обязательства на 2021 год были приняты в пределах утвержденных лимитов, не исполнено в сумме 150 000,00 рублей муниципальный контракт по техническому надзору по памятнику им. Коростелева в связи с тем, что УС и ЖКХ нет исполнения выполненных работ в полном объеме, тех. Надзор не предоставляется выполнить. Обязательства по кредиторской задолженности приняты за счет лимитов бюджетных обязательств 2022 года.</w:t>
      </w:r>
    </w:p>
    <w:p>
      <w:pPr>
        <w:pStyle w:val="Normal"/>
        <w:widowControl w:val="false"/>
        <w:spacing w:lineRule="auto" w:line="276" w:before="0" w:after="0"/>
        <w:ind w:firstLine="567"/>
        <w:contextualSpacing/>
        <w:jc w:val="both"/>
        <w:rPr>
          <w:color w:val="000000"/>
        </w:rPr>
      </w:pPr>
      <w:r>
        <w:rPr>
          <w:rFonts w:ascii="Times New Roman" w:hAnsi="Times New Roman"/>
          <w:b w:val="false"/>
          <w:i w:val="false"/>
          <w:strike w:val="false"/>
          <w:dstrike w:val="false"/>
          <w:outline w:val="false"/>
          <w:shadow w:val="false"/>
          <w:color w:val="000000"/>
          <w:sz w:val="28"/>
          <w:szCs w:val="28"/>
          <w:u w:val="none"/>
          <w:em w:val="none"/>
        </w:rPr>
        <w:t>Согласно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указаны резервы предстоящих расходов по счету 401 60, что соответствует сведениям отраженным в ф. 0503121 «Отчет о финансовых результатах деятельности».</w:t>
      </w:r>
    </w:p>
    <w:p>
      <w:pPr>
        <w:pStyle w:val="Normal"/>
        <w:widowControl w:val="false"/>
        <w:spacing w:lineRule="auto" w:line="276" w:before="0" w:after="0"/>
        <w:contextualSpacing/>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76" w:before="0" w:after="0"/>
        <w:contextualSpacing/>
        <w:jc w:val="center"/>
        <w:rPr/>
      </w:pPr>
      <w:r>
        <w:rPr>
          <w:rFonts w:ascii="Times New Roman" w:hAnsi="Times New Roman"/>
          <w:b/>
          <w:bCs/>
          <w:sz w:val="28"/>
          <w:szCs w:val="28"/>
        </w:rPr>
        <w:t>Анализ дебиторской и кредиторской задолженности</w:t>
      </w:r>
    </w:p>
    <w:p>
      <w:pPr>
        <w:pStyle w:val="Normal"/>
        <w:widowControl w:val="false"/>
        <w:spacing w:lineRule="auto" w:line="276" w:before="0" w:after="0"/>
        <w:contextualSpacing/>
        <w:jc w:val="both"/>
        <w:rPr>
          <w:rFonts w:ascii="Times New Roman" w:hAnsi="Times New Roman"/>
          <w:b/>
          <w:b/>
          <w:bCs/>
          <w:sz w:val="28"/>
          <w:szCs w:val="28"/>
        </w:rPr>
      </w:pPr>
      <w:r>
        <w:rPr>
          <w:rFonts w:ascii="Times New Roman" w:hAnsi="Times New Roman"/>
          <w:b/>
          <w:bCs/>
          <w:sz w:val="28"/>
          <w:szCs w:val="28"/>
        </w:rPr>
      </w:r>
    </w:p>
    <w:p>
      <w:pPr>
        <w:pStyle w:val="Normal"/>
        <w:widowControl w:val="false"/>
        <w:spacing w:lineRule="auto" w:line="276" w:before="0" w:after="0"/>
        <w:ind w:firstLine="709"/>
        <w:contextualSpacing/>
        <w:jc w:val="both"/>
        <w:rPr/>
      </w:pPr>
      <w:r>
        <w:rPr>
          <w:rFonts w:ascii="Times New Roman" w:hAnsi="Times New Roman"/>
          <w:b/>
          <w:bCs/>
          <w:sz w:val="28"/>
          <w:szCs w:val="28"/>
          <w:highlight w:val="white"/>
          <w:lang w:eastAsia="ru-RU"/>
        </w:rPr>
        <w:t xml:space="preserve">Дебиторская задолженность по доходам </w:t>
      </w:r>
      <w:r>
        <w:rPr>
          <w:rFonts w:ascii="Times New Roman" w:hAnsi="Times New Roman"/>
          <w:b w:val="false"/>
          <w:bCs w:val="false"/>
          <w:sz w:val="28"/>
          <w:szCs w:val="28"/>
          <w:highlight w:val="white"/>
          <w:lang w:eastAsia="ru-RU"/>
        </w:rPr>
        <w:t xml:space="preserve">в части доходов на 01.01.2022 год составила в сумме </w:t>
      </w:r>
      <w:r>
        <w:rPr>
          <w:rFonts w:ascii="Times New Roman" w:hAnsi="Times New Roman"/>
          <w:b/>
          <w:bCs/>
          <w:sz w:val="28"/>
          <w:szCs w:val="28"/>
          <w:highlight w:val="white"/>
          <w:lang w:eastAsia="ru-RU"/>
        </w:rPr>
        <w:t xml:space="preserve">158 839 707,36 </w:t>
      </w:r>
      <w:r>
        <w:rPr>
          <w:rFonts w:ascii="Times New Roman" w:hAnsi="Times New Roman"/>
          <w:b w:val="false"/>
          <w:bCs w:val="false"/>
          <w:sz w:val="28"/>
          <w:szCs w:val="28"/>
          <w:highlight w:val="white"/>
          <w:lang w:eastAsia="ru-RU"/>
        </w:rPr>
        <w:t>рублей</w:t>
      </w:r>
      <w:r>
        <w:rPr>
          <w:rFonts w:ascii="Times New Roman" w:hAnsi="Times New Roman"/>
          <w:b/>
          <w:bCs/>
          <w:sz w:val="28"/>
          <w:szCs w:val="28"/>
          <w:highlight w:val="white"/>
          <w:lang w:eastAsia="ru-RU"/>
        </w:rPr>
        <w:t xml:space="preserve"> </w:t>
      </w:r>
      <w:r>
        <w:rPr>
          <w:rFonts w:cs="Times New Roman" w:ascii="Times New Roman" w:hAnsi="Times New Roman"/>
          <w:b w:val="false"/>
          <w:bCs w:val="false"/>
          <w:i w:val="false"/>
          <w:iCs w:val="false"/>
          <w:sz w:val="28"/>
          <w:szCs w:val="28"/>
          <w:highlight w:val="white"/>
          <w:lang w:eastAsia="ru-RU"/>
        </w:rPr>
        <w:t xml:space="preserve"> (на 01.01.2020 -                          192 986 543,35 рубл</w:t>
      </w:r>
      <w:r>
        <w:rPr>
          <w:rFonts w:cs="Times New Roman" w:ascii="Times New Roman" w:hAnsi="Times New Roman"/>
          <w:b w:val="false"/>
          <w:bCs w:val="false"/>
          <w:i w:val="false"/>
          <w:iCs w:val="false"/>
          <w:sz w:val="28"/>
          <w:szCs w:val="28"/>
          <w:highlight w:val="white"/>
          <w:lang w:eastAsia="ru-RU"/>
        </w:rPr>
        <w:t>я</w:t>
      </w:r>
      <w:r>
        <w:rPr>
          <w:rFonts w:cs="Times New Roman" w:ascii="Times New Roman" w:hAnsi="Times New Roman"/>
          <w:b w:val="false"/>
          <w:bCs w:val="false"/>
          <w:i w:val="false"/>
          <w:iCs w:val="false"/>
          <w:sz w:val="28"/>
          <w:szCs w:val="28"/>
          <w:highlight w:val="white"/>
          <w:lang w:eastAsia="ru-RU"/>
        </w:rPr>
        <w:t>)</w:t>
      </w:r>
      <w:r>
        <w:rPr>
          <w:rFonts w:ascii="Times New Roman" w:hAnsi="Times New Roman"/>
          <w:b w:val="false"/>
          <w:bCs w:val="false"/>
          <w:sz w:val="28"/>
          <w:szCs w:val="28"/>
          <w:highlight w:val="white"/>
          <w:lang w:eastAsia="ru-RU"/>
        </w:rPr>
        <w:t xml:space="preserve"> в том числе: </w:t>
      </w:r>
    </w:p>
    <w:p>
      <w:pPr>
        <w:pStyle w:val="Normal"/>
        <w:widowControl w:val="false"/>
        <w:spacing w:lineRule="auto" w:line="276" w:before="0" w:after="0"/>
        <w:ind w:firstLine="709"/>
        <w:contextualSpacing/>
        <w:jc w:val="both"/>
        <w:rPr/>
      </w:pPr>
      <w:r>
        <w:rPr>
          <w:rFonts w:ascii="Times New Roman" w:hAnsi="Times New Roman"/>
          <w:b w:val="false"/>
          <w:bCs w:val="false"/>
          <w:sz w:val="28"/>
          <w:szCs w:val="28"/>
          <w:highlight w:val="white"/>
          <w:lang w:eastAsia="ru-RU"/>
        </w:rPr>
        <w:t xml:space="preserve">- </w:t>
      </w:r>
      <w:bookmarkStart w:id="4" w:name="__DdeLink__2149_622333778"/>
      <w:r>
        <w:rPr>
          <w:rFonts w:ascii="Times New Roman" w:hAnsi="Times New Roman"/>
          <w:b w:val="false"/>
          <w:bCs w:val="false"/>
          <w:sz w:val="28"/>
          <w:szCs w:val="28"/>
          <w:highlight w:val="white"/>
          <w:lang w:eastAsia="ru-RU"/>
        </w:rPr>
        <w:t>по доходам в части задолженности дебиторов</w:t>
      </w:r>
      <w:bookmarkEnd w:id="4"/>
      <w:r>
        <w:rPr>
          <w:rFonts w:ascii="Times New Roman" w:hAnsi="Times New Roman"/>
          <w:b w:val="false"/>
          <w:bCs w:val="false"/>
          <w:sz w:val="28"/>
          <w:szCs w:val="28"/>
          <w:highlight w:val="white"/>
          <w:lang w:eastAsia="ru-RU"/>
        </w:rPr>
        <w:t xml:space="preserve"> на 01.01.2022 в сумме    </w:t>
      </w:r>
      <w:bookmarkStart w:id="5" w:name="__DdeLink__245_1624151486"/>
      <w:r>
        <w:rPr>
          <w:rFonts w:ascii="Times New Roman" w:hAnsi="Times New Roman"/>
          <w:b w:val="false"/>
          <w:bCs w:val="false"/>
          <w:sz w:val="28"/>
          <w:szCs w:val="28"/>
          <w:highlight w:val="white"/>
          <w:lang w:eastAsia="ru-RU"/>
        </w:rPr>
        <w:t xml:space="preserve">25 581 092,87 </w:t>
      </w:r>
      <w:r>
        <w:rPr>
          <w:rFonts w:ascii="Times New Roman" w:hAnsi="Times New Roman"/>
          <w:b w:val="false"/>
          <w:bCs w:val="false"/>
          <w:sz w:val="28"/>
          <w:szCs w:val="28"/>
          <w:highlight w:val="white"/>
          <w:lang w:eastAsia="ru-RU"/>
        </w:rPr>
        <w:t>рубля</w:t>
      </w:r>
      <w:r>
        <w:rPr>
          <w:rFonts w:ascii="Times New Roman" w:hAnsi="Times New Roman"/>
          <w:b w:val="false"/>
          <w:bCs w:val="false"/>
          <w:sz w:val="28"/>
          <w:szCs w:val="28"/>
          <w:highlight w:val="white"/>
          <w:lang w:eastAsia="ru-RU"/>
        </w:rPr>
        <w:t xml:space="preserve"> </w:t>
      </w:r>
      <w:r>
        <w:rPr>
          <w:rFonts w:cs="Times New Roman" w:ascii="Times New Roman" w:hAnsi="Times New Roman"/>
          <w:b w:val="false"/>
          <w:bCs w:val="false"/>
          <w:i w:val="false"/>
          <w:iCs w:val="false"/>
          <w:sz w:val="28"/>
          <w:szCs w:val="28"/>
          <w:highlight w:val="white"/>
          <w:lang w:eastAsia="ru-RU"/>
        </w:rPr>
        <w:t xml:space="preserve">(на 01.01.2020 - 36 064 612,54 </w:t>
      </w:r>
      <w:r>
        <w:rPr>
          <w:rFonts w:ascii="Times New Roman" w:hAnsi="Times New Roman"/>
          <w:b w:val="false"/>
          <w:bCs w:val="false"/>
          <w:sz w:val="28"/>
          <w:szCs w:val="28"/>
          <w:highlight w:val="white"/>
          <w:lang w:eastAsia="ru-RU"/>
        </w:rPr>
        <w:t>рубл</w:t>
      </w:r>
      <w:r>
        <w:rPr>
          <w:rFonts w:ascii="Times New Roman" w:hAnsi="Times New Roman"/>
          <w:b w:val="false"/>
          <w:bCs w:val="false"/>
          <w:sz w:val="28"/>
          <w:szCs w:val="28"/>
          <w:highlight w:val="white"/>
          <w:lang w:eastAsia="ru-RU"/>
        </w:rPr>
        <w:t>ей)</w:t>
      </w:r>
      <w:r>
        <w:rPr>
          <w:rFonts w:ascii="Times New Roman" w:hAnsi="Times New Roman"/>
          <w:b w:val="false"/>
          <w:bCs w:val="false"/>
          <w:sz w:val="28"/>
          <w:szCs w:val="28"/>
          <w:highlight w:val="white"/>
          <w:lang w:eastAsia="ru-RU"/>
        </w:rPr>
        <w:t>.</w:t>
      </w:r>
      <w:bookmarkEnd w:id="5"/>
    </w:p>
    <w:p>
      <w:pPr>
        <w:pStyle w:val="Normal"/>
        <w:widowControl w:val="false"/>
        <w:spacing w:lineRule="auto" w:line="276" w:before="0" w:after="0"/>
        <w:ind w:firstLine="567"/>
        <w:contextualSpacing/>
        <w:jc w:val="both"/>
        <w:rPr/>
      </w:pPr>
      <w:r>
        <w:rPr>
          <w:rFonts w:ascii="Times New Roman" w:hAnsi="Times New Roman"/>
          <w:b w:val="false"/>
          <w:bCs w:val="false"/>
          <w:sz w:val="28"/>
          <w:szCs w:val="28"/>
          <w:highlight w:val="white"/>
          <w:lang w:eastAsia="ru-RU"/>
        </w:rPr>
        <w:t>В сравнении с 2020 годом дебиторская задолженность по доходам в части задолженности дебиторов уменьшилась на сумму 10 483 519,67 рублей, в том числе :</w:t>
      </w:r>
    </w:p>
    <w:p>
      <w:pPr>
        <w:pStyle w:val="Normal"/>
        <w:widowControl w:val="false"/>
        <w:numPr>
          <w:ilvl w:val="0"/>
          <w:numId w:val="2"/>
        </w:numPr>
        <w:spacing w:lineRule="auto" w:line="276" w:before="0" w:after="0"/>
        <w:ind w:firstLine="567"/>
        <w:contextualSpacing/>
        <w:jc w:val="both"/>
        <w:rPr>
          <w:highlight w:val="white"/>
        </w:rPr>
      </w:pPr>
      <w:r>
        <w:rPr>
          <w:rFonts w:ascii="Times New Roman" w:hAnsi="Times New Roman"/>
          <w:b w:val="false"/>
          <w:bCs w:val="false"/>
          <w:sz w:val="28"/>
          <w:szCs w:val="28"/>
          <w:highlight w:val="white"/>
          <w:lang w:eastAsia="ru-RU"/>
        </w:rPr>
        <w:t>4 315 005,20 рублей списание безнадежной дебиторской задолженности по арендной плате за земельные участки юридических лиц (согласно актов списания);</w:t>
      </w:r>
    </w:p>
    <w:p>
      <w:pPr>
        <w:pStyle w:val="Normal"/>
        <w:widowControl w:val="false"/>
        <w:numPr>
          <w:ilvl w:val="0"/>
          <w:numId w:val="3"/>
        </w:numPr>
        <w:spacing w:lineRule="auto" w:line="276" w:before="0" w:after="0"/>
        <w:ind w:firstLine="567"/>
        <w:contextualSpacing/>
        <w:jc w:val="both"/>
        <w:rPr>
          <w:highlight w:val="yellow"/>
        </w:rPr>
      </w:pPr>
      <w:r>
        <w:rPr>
          <w:rFonts w:ascii="Times New Roman" w:hAnsi="Times New Roman"/>
          <w:b w:val="false"/>
          <w:bCs w:val="false"/>
          <w:sz w:val="28"/>
          <w:szCs w:val="28"/>
          <w:highlight w:val="white"/>
          <w:lang w:eastAsia="ru-RU"/>
        </w:rPr>
        <w:t>6 168 514,47 рублей погашена дебиторская задолженность.</w:t>
      </w:r>
    </w:p>
    <w:p>
      <w:pPr>
        <w:pStyle w:val="Normal"/>
        <w:widowControl w:val="false"/>
        <w:spacing w:lineRule="auto" w:line="276" w:before="0" w:after="0"/>
        <w:ind w:firstLine="567"/>
        <w:contextualSpacing/>
        <w:jc w:val="both"/>
        <w:rPr/>
      </w:pPr>
      <w:r>
        <w:rPr>
          <w:rFonts w:ascii="Times New Roman" w:hAnsi="Times New Roman"/>
          <w:b w:val="false"/>
          <w:bCs w:val="false"/>
          <w:sz w:val="28"/>
          <w:szCs w:val="28"/>
          <w:highlight w:val="white"/>
          <w:lang w:eastAsia="ru-RU"/>
        </w:rPr>
        <w:t xml:space="preserve">Какие принимались меры </w:t>
      </w:r>
      <w:r>
        <w:rPr>
          <w:rFonts w:eastAsia="Times New Roman" w:cs="Times New Roman" w:ascii="Times New Roman" w:hAnsi="Times New Roman"/>
          <w:b w:val="false"/>
          <w:bCs w:val="false"/>
          <w:sz w:val="28"/>
          <w:szCs w:val="28"/>
          <w:highlight w:val="white"/>
          <w:lang w:eastAsia="ru-RU"/>
        </w:rPr>
        <w:t>КУМИ города Канска</w:t>
      </w:r>
      <w:r>
        <w:rPr>
          <w:rFonts w:ascii="Times New Roman" w:hAnsi="Times New Roman"/>
          <w:b w:val="false"/>
          <w:bCs w:val="false"/>
          <w:sz w:val="28"/>
          <w:szCs w:val="28"/>
          <w:highlight w:val="white"/>
          <w:lang w:eastAsia="ru-RU"/>
        </w:rPr>
        <w:t xml:space="preserve"> по взысканию   задолженности в сумме 25 581 092,87 рубля, в пояснительной записке не указано.</w:t>
      </w:r>
    </w:p>
    <w:p>
      <w:pPr>
        <w:pStyle w:val="Normal"/>
        <w:widowControl w:val="false"/>
        <w:tabs>
          <w:tab w:val="clear" w:pos="408"/>
          <w:tab w:val="left" w:pos="960" w:leader="none"/>
        </w:tabs>
        <w:spacing w:lineRule="auto" w:line="276" w:before="0" w:after="0"/>
        <w:ind w:firstLine="709"/>
        <w:contextualSpacing/>
        <w:jc w:val="both"/>
        <w:rPr/>
      </w:pPr>
      <w:r>
        <w:rPr>
          <w:rFonts w:ascii="Times New Roman" w:hAnsi="Times New Roman"/>
          <w:b w:val="false"/>
          <w:bCs w:val="false"/>
          <w:i/>
          <w:iCs/>
          <w:sz w:val="28"/>
          <w:szCs w:val="28"/>
          <w:highlight w:val="white"/>
          <w:lang w:eastAsia="ru-RU"/>
        </w:rPr>
        <w:t>Д</w:t>
      </w:r>
      <w:r>
        <w:rPr>
          <w:rFonts w:ascii="Times New Roman" w:hAnsi="Times New Roman"/>
          <w:b w:val="false"/>
          <w:bCs w:val="false"/>
          <w:i/>
          <w:iCs/>
          <w:sz w:val="28"/>
          <w:szCs w:val="28"/>
          <w:highlight w:val="white"/>
          <w:lang w:eastAsia="ru-RU"/>
        </w:rPr>
        <w:t>олгосрочная дебиторская задолженность</w:t>
      </w:r>
      <w:r>
        <w:rPr>
          <w:rFonts w:ascii="Times New Roman" w:hAnsi="Times New Roman"/>
          <w:b w:val="false"/>
          <w:bCs w:val="false"/>
          <w:sz w:val="28"/>
          <w:szCs w:val="28"/>
          <w:highlight w:val="white"/>
          <w:lang w:eastAsia="ru-RU"/>
        </w:rPr>
        <w:t xml:space="preserve"> в сумме 2</w:t>
      </w:r>
      <w:r>
        <w:rPr>
          <w:rFonts w:ascii="Times New Roman" w:hAnsi="Times New Roman"/>
          <w:b w:val="false"/>
          <w:bCs w:val="false"/>
          <w:sz w:val="28"/>
          <w:szCs w:val="28"/>
          <w:highlight w:val="white"/>
          <w:lang w:eastAsia="ru-RU"/>
        </w:rPr>
        <w:t>2 061 978,31</w:t>
      </w:r>
      <w:r>
        <w:rPr>
          <w:rFonts w:ascii="Times New Roman" w:hAnsi="Times New Roman"/>
          <w:b w:val="false"/>
          <w:bCs w:val="false"/>
          <w:sz w:val="28"/>
          <w:szCs w:val="28"/>
          <w:highlight w:val="white"/>
          <w:lang w:eastAsia="ru-RU"/>
        </w:rPr>
        <w:t xml:space="preserve"> рубл</w:t>
      </w:r>
      <w:r>
        <w:rPr>
          <w:rFonts w:ascii="Times New Roman" w:hAnsi="Times New Roman"/>
          <w:b w:val="false"/>
          <w:bCs w:val="false"/>
          <w:sz w:val="28"/>
          <w:szCs w:val="28"/>
          <w:highlight w:val="white"/>
          <w:lang w:eastAsia="ru-RU"/>
        </w:rPr>
        <w:t>ей</w:t>
      </w:r>
      <w:r>
        <w:rPr>
          <w:rFonts w:ascii="Times New Roman" w:hAnsi="Times New Roman"/>
          <w:b w:val="false"/>
          <w:bCs w:val="false"/>
          <w:sz w:val="28"/>
          <w:szCs w:val="28"/>
          <w:highlight w:val="white"/>
          <w:lang w:eastAsia="ru-RU"/>
        </w:rPr>
        <w:t xml:space="preserve"> ( в 2020 - 29 934 393,59 рубля);</w:t>
      </w:r>
    </w:p>
    <w:p>
      <w:pPr>
        <w:pStyle w:val="Normal"/>
        <w:widowControl w:val="false"/>
        <w:spacing w:lineRule="auto" w:line="276" w:before="0" w:after="0"/>
        <w:ind w:firstLine="567"/>
        <w:contextualSpacing/>
        <w:jc w:val="both"/>
        <w:rPr/>
      </w:pPr>
      <w:r>
        <w:rPr>
          <w:rFonts w:ascii="Times New Roman" w:hAnsi="Times New Roman"/>
          <w:b w:val="false"/>
          <w:bCs w:val="false"/>
          <w:i/>
          <w:iCs/>
          <w:sz w:val="28"/>
          <w:szCs w:val="28"/>
          <w:highlight w:val="white"/>
          <w:lang w:eastAsia="ru-RU"/>
        </w:rPr>
        <w:t>П</w:t>
      </w:r>
      <w:r>
        <w:rPr>
          <w:rFonts w:ascii="Times New Roman" w:hAnsi="Times New Roman"/>
          <w:b w:val="false"/>
          <w:bCs w:val="false"/>
          <w:i/>
          <w:iCs/>
          <w:sz w:val="28"/>
          <w:szCs w:val="28"/>
          <w:highlight w:val="white"/>
          <w:lang w:eastAsia="ru-RU"/>
        </w:rPr>
        <w:t>росроченная дебиторская задолженность</w:t>
      </w:r>
      <w:r>
        <w:rPr>
          <w:rFonts w:ascii="Times New Roman" w:hAnsi="Times New Roman"/>
          <w:b w:val="false"/>
          <w:bCs w:val="false"/>
          <w:sz w:val="28"/>
          <w:szCs w:val="28"/>
          <w:highlight w:val="white"/>
          <w:lang w:eastAsia="ru-RU"/>
        </w:rPr>
        <w:t xml:space="preserve"> </w:t>
      </w:r>
      <w:r>
        <w:rPr>
          <w:rFonts w:eastAsia="Calibri" w:cs="" w:ascii="Times New Roman" w:hAnsi="Times New Roman" w:cstheme="minorBidi" w:eastAsiaTheme="minorHAnsi"/>
          <w:b w:val="false"/>
          <w:bCs w:val="false"/>
          <w:color w:val="auto"/>
          <w:kern w:val="0"/>
          <w:sz w:val="28"/>
          <w:szCs w:val="28"/>
          <w:highlight w:val="white"/>
          <w:lang w:val="ru-RU" w:eastAsia="ru-RU" w:bidi="ar-SA"/>
        </w:rPr>
        <w:t>3 561 600,52</w:t>
      </w:r>
      <w:r>
        <w:rPr>
          <w:rFonts w:ascii="Times New Roman" w:hAnsi="Times New Roman"/>
          <w:b w:val="false"/>
          <w:bCs w:val="false"/>
          <w:sz w:val="28"/>
          <w:szCs w:val="28"/>
          <w:highlight w:val="white"/>
          <w:lang w:eastAsia="ru-RU"/>
        </w:rPr>
        <w:t xml:space="preserve"> рублей                 (в 2020 году - </w:t>
      </w:r>
      <w:r>
        <w:rPr>
          <w:rFonts w:eastAsia="Calibri" w:cs="" w:ascii="Times New Roman" w:hAnsi="Times New Roman" w:cstheme="minorBidi" w:eastAsiaTheme="minorHAnsi"/>
          <w:b w:val="false"/>
          <w:bCs w:val="false"/>
          <w:color w:val="auto"/>
          <w:kern w:val="0"/>
          <w:sz w:val="28"/>
          <w:szCs w:val="28"/>
          <w:highlight w:val="white"/>
          <w:lang w:val="ru-RU" w:eastAsia="ru-RU" w:bidi="ar-SA"/>
        </w:rPr>
        <w:t>6 182 717,85</w:t>
      </w:r>
      <w:r>
        <w:rPr>
          <w:rFonts w:ascii="Times New Roman" w:hAnsi="Times New Roman"/>
          <w:b w:val="false"/>
          <w:bCs w:val="false"/>
          <w:sz w:val="28"/>
          <w:szCs w:val="28"/>
          <w:highlight w:val="white"/>
          <w:lang w:eastAsia="ru-RU"/>
        </w:rPr>
        <w:t xml:space="preserve"> рублей ).</w:t>
      </w:r>
    </w:p>
    <w:p>
      <w:pPr>
        <w:pStyle w:val="Normal"/>
        <w:spacing w:lineRule="auto" w:line="276" w:before="0" w:after="0"/>
        <w:ind w:left="0" w:right="0" w:firstLine="709"/>
        <w:jc w:val="both"/>
        <w:rPr/>
      </w:pPr>
      <w:r>
        <w:rPr>
          <w:rFonts w:cs="Times New Roman" w:ascii="Times New Roman" w:hAnsi="Times New Roman"/>
          <w:b/>
          <w:bCs/>
          <w:i w:val="false"/>
          <w:iCs w:val="false"/>
          <w:sz w:val="28"/>
          <w:szCs w:val="28"/>
        </w:rPr>
        <w:t>Кредиторская задолженность</w:t>
      </w:r>
      <w:r>
        <w:rPr>
          <w:rFonts w:cs="Times New Roman" w:ascii="Times New Roman" w:hAnsi="Times New Roman"/>
          <w:i w:val="false"/>
          <w:iCs w:val="false"/>
          <w:sz w:val="28"/>
          <w:szCs w:val="28"/>
        </w:rPr>
        <w:t xml:space="preserve"> </w:t>
      </w:r>
      <w:r>
        <w:rPr>
          <w:rFonts w:cs="Times New Roman" w:ascii="Times New Roman" w:hAnsi="Times New Roman"/>
          <w:b w:val="false"/>
          <w:bCs w:val="false"/>
          <w:i w:val="false"/>
          <w:iCs w:val="false"/>
          <w:sz w:val="28"/>
          <w:szCs w:val="28"/>
          <w:lang w:eastAsia="ru-RU"/>
        </w:rPr>
        <w:t>на 01.01.20</w:t>
      </w:r>
      <w:r>
        <w:rPr>
          <w:rFonts w:cs="Times New Roman" w:ascii="Times New Roman" w:hAnsi="Times New Roman"/>
          <w:b w:val="false"/>
          <w:bCs w:val="false"/>
          <w:i w:val="false"/>
          <w:iCs w:val="false"/>
          <w:sz w:val="28"/>
          <w:szCs w:val="28"/>
          <w:lang w:val="en-US" w:eastAsia="ru-RU"/>
        </w:rPr>
        <w:t>22</w:t>
      </w:r>
      <w:r>
        <w:rPr>
          <w:rFonts w:cs="Times New Roman" w:ascii="Times New Roman" w:hAnsi="Times New Roman"/>
          <w:i w:val="false"/>
          <w:iCs w:val="false"/>
          <w:sz w:val="28"/>
          <w:szCs w:val="28"/>
        </w:rPr>
        <w:t xml:space="preserve"> </w:t>
      </w:r>
      <w:r>
        <w:rPr>
          <w:rFonts w:ascii="Times New Roman" w:hAnsi="Times New Roman"/>
          <w:i w:val="false"/>
          <w:iCs w:val="false"/>
          <w:sz w:val="28"/>
          <w:szCs w:val="28"/>
        </w:rPr>
        <w:t>составила</w:t>
      </w:r>
      <w:r>
        <w:rPr>
          <w:rFonts w:cs="Times New Roman" w:ascii="Times New Roman" w:hAnsi="Times New Roman"/>
          <w:i w:val="false"/>
          <w:iCs w:val="false"/>
          <w:sz w:val="28"/>
          <w:szCs w:val="28"/>
        </w:rPr>
        <w:t xml:space="preserve">                        </w:t>
      </w:r>
      <w:r>
        <w:rPr>
          <w:rFonts w:cs="Times New Roman" w:ascii="Times New Roman" w:hAnsi="Times New Roman"/>
          <w:b w:val="false"/>
          <w:bCs w:val="false"/>
          <w:i w:val="false"/>
          <w:iCs w:val="false"/>
          <w:sz w:val="28"/>
          <w:szCs w:val="28"/>
        </w:rPr>
        <w:t>259 855,09</w:t>
      </w:r>
      <w:r>
        <w:rPr>
          <w:rFonts w:cs="Times New Roman" w:ascii="Times New Roman" w:hAnsi="Times New Roman"/>
          <w:b/>
          <w:i w:val="false"/>
          <w:iCs w:val="false"/>
          <w:sz w:val="28"/>
          <w:szCs w:val="28"/>
        </w:rPr>
        <w:t xml:space="preserve"> </w:t>
      </w:r>
      <w:r>
        <w:rPr>
          <w:rFonts w:cs="Times New Roman" w:ascii="Times New Roman" w:hAnsi="Times New Roman"/>
          <w:b w:val="false"/>
          <w:bCs w:val="false"/>
          <w:i w:val="false"/>
          <w:iCs w:val="false"/>
          <w:sz w:val="28"/>
          <w:szCs w:val="28"/>
        </w:rPr>
        <w:t>рублей</w:t>
      </w:r>
      <w:r>
        <w:rPr>
          <w:rFonts w:cs="Times New Roman" w:ascii="Times New Roman" w:hAnsi="Times New Roman"/>
          <w:b/>
          <w:i w:val="false"/>
          <w:iCs w:val="false"/>
          <w:sz w:val="28"/>
          <w:szCs w:val="28"/>
        </w:rPr>
        <w:t xml:space="preserve"> </w:t>
      </w:r>
      <w:r>
        <w:rPr>
          <w:rFonts w:cs="Times New Roman" w:ascii="Times New Roman" w:hAnsi="Times New Roman"/>
          <w:b w:val="false"/>
          <w:bCs w:val="false"/>
          <w:i w:val="false"/>
          <w:iCs w:val="false"/>
          <w:sz w:val="28"/>
          <w:szCs w:val="28"/>
          <w:lang w:eastAsia="ru-RU"/>
        </w:rPr>
        <w:t xml:space="preserve">(на 01.01.2021 — 111 520,46 рубля) </w:t>
      </w:r>
      <w:r>
        <w:rPr>
          <w:rFonts w:cs="Times New Roman" w:ascii="Times New Roman" w:hAnsi="Times New Roman"/>
          <w:i w:val="false"/>
          <w:iCs w:val="false"/>
          <w:sz w:val="28"/>
          <w:szCs w:val="28"/>
        </w:rPr>
        <w:t>в том числе:</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- 6 126,65 рублей услуги связи;</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- 220 715,88 рублей коммунальные услуги;</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- 33 012,56 кредиторская задолженность по взносам на капитальный ремонт.</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Согласно муниципальному контракту оплата производится в следующем месяце за отчетным.</w:t>
      </w:r>
    </w:p>
    <w:p>
      <w:pPr>
        <w:pStyle w:val="Normal"/>
        <w:spacing w:lineRule="auto" w:line="276" w:before="0" w:after="0"/>
        <w:ind w:left="0" w:right="0" w:firstLine="709"/>
        <w:jc w:val="both"/>
        <w:rPr/>
      </w:pPr>
      <w:r>
        <w:rPr>
          <w:rFonts w:eastAsia="Calibri" w:cs="Times New Roman" w:ascii="Times New Roman" w:hAnsi="Times New Roman" w:eastAsiaTheme="minorHAnsi"/>
          <w:i w:val="false"/>
          <w:iCs w:val="false"/>
          <w:color w:val="auto"/>
          <w:kern w:val="0"/>
          <w:sz w:val="28"/>
          <w:szCs w:val="28"/>
          <w:lang w:val="ru-RU" w:eastAsia="en-US" w:bidi="ar-SA"/>
        </w:rPr>
        <w:t>За счет ассигнований 2021 года погашена кредиторская задолженность за 2020 год в сумме 11 1520,46 рублей</w:t>
      </w:r>
      <w:r>
        <w:rPr>
          <w:rFonts w:cs="Times New Roman" w:ascii="Times New Roman" w:hAnsi="Times New Roman"/>
          <w:i w:val="false"/>
          <w:iCs w:val="false"/>
          <w:sz w:val="28"/>
          <w:szCs w:val="28"/>
        </w:rPr>
        <w:t xml:space="preserve">. </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 xml:space="preserve">По сравнению с 2021 годом кредиторская задолженность увеличилась  на 148 334,63 рубля. </w:t>
      </w:r>
    </w:p>
    <w:p>
      <w:pPr>
        <w:pStyle w:val="Normal"/>
        <w:widowControl w:val="false"/>
        <w:spacing w:lineRule="auto" w:line="276" w:before="0" w:after="0"/>
        <w:ind w:left="0" w:right="0" w:firstLine="709"/>
        <w:jc w:val="both"/>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widowControl w:val="false"/>
        <w:spacing w:lineRule="auto" w:line="276" w:before="0" w:after="0"/>
        <w:ind w:firstLine="567"/>
        <w:contextualSpacing/>
        <w:jc w:val="both"/>
        <w:rPr/>
      </w:pPr>
      <w:r>
        <w:rPr>
          <w:rFonts w:ascii="Times New Roman" w:hAnsi="Times New Roman"/>
          <w:sz w:val="28"/>
          <w:szCs w:val="28"/>
          <w:lang w:eastAsia="ru-RU"/>
        </w:rPr>
        <w:t xml:space="preserve"> </w:t>
      </w:r>
      <w:r>
        <w:rPr>
          <w:rFonts w:eastAsia="Times New Roman" w:cs="Times New Roman" w:ascii="Times New Roman" w:hAnsi="Times New Roman"/>
          <w:b/>
          <w:sz w:val="28"/>
          <w:szCs w:val="28"/>
          <w:lang w:eastAsia="ru-RU"/>
        </w:rPr>
        <w:t>Выводы</w:t>
      </w:r>
      <w:r>
        <w:rPr>
          <w:rFonts w:ascii="Times New Roman" w:hAnsi="Times New Roman"/>
          <w:sz w:val="28"/>
          <w:szCs w:val="28"/>
          <w:lang w:eastAsia="ru-RU"/>
        </w:rPr>
        <w:t xml:space="preserve">   </w:t>
      </w:r>
    </w:p>
    <w:p>
      <w:pPr>
        <w:pStyle w:val="Normal"/>
        <w:tabs>
          <w:tab w:val="clear" w:pos="408"/>
          <w:tab w:val="left" w:pos="870" w:leader="none"/>
          <w:tab w:val="left" w:pos="990" w:leader="none"/>
          <w:tab w:val="left" w:pos="1140" w:leader="none"/>
        </w:tabs>
        <w:spacing w:lineRule="auto" w:line="276" w:before="0" w:after="0"/>
        <w:ind w:left="0" w:right="0" w:firstLine="709"/>
        <w:contextualSpacing/>
        <w:jc w:val="both"/>
        <w:rPr/>
      </w:pPr>
      <w:r>
        <w:rPr>
          <w:rFonts w:eastAsia="Calibri" w:cs="" w:ascii="Times New Roman" w:hAnsi="Times New Roman" w:cstheme="minorBidi" w:eastAsiaTheme="minorHAnsi"/>
          <w:sz w:val="28"/>
          <w:szCs w:val="28"/>
        </w:rPr>
        <w:t>1. В ходе проверки не выявлены факты неполного заполнения форм бюджетной отчетности.</w:t>
      </w:r>
    </w:p>
    <w:p>
      <w:pPr>
        <w:pStyle w:val="Normal"/>
        <w:tabs>
          <w:tab w:val="clear" w:pos="408"/>
          <w:tab w:val="left" w:pos="870" w:leader="none"/>
          <w:tab w:val="left" w:pos="990" w:leader="none"/>
          <w:tab w:val="left" w:pos="1140" w:leader="none"/>
        </w:tabs>
        <w:spacing w:lineRule="auto" w:line="276" w:before="0" w:after="0"/>
        <w:ind w:left="0" w:right="0" w:firstLine="709"/>
        <w:contextualSpacing/>
        <w:jc w:val="both"/>
        <w:rPr/>
      </w:pPr>
      <w:r>
        <w:rPr>
          <w:rFonts w:eastAsia="Calibri" w:cs="" w:ascii="Times New Roman" w:hAnsi="Times New Roman" w:cstheme="minorBidi" w:eastAsiaTheme="minorHAnsi"/>
          <w:i w:val="false"/>
          <w:iCs w:val="false"/>
          <w:sz w:val="28"/>
          <w:szCs w:val="28"/>
        </w:rPr>
        <w:t xml:space="preserve">2. </w:t>
      </w:r>
      <w:r>
        <w:rPr>
          <w:rFonts w:ascii="Times New Roman" w:hAnsi="Times New Roman"/>
          <w:i w:val="false"/>
          <w:iCs w:val="false"/>
          <w:sz w:val="28"/>
          <w:szCs w:val="28"/>
        </w:rPr>
        <w:t>Фактов, способных негативно повлиять на достоверность отчетности, не установлено.</w:t>
      </w:r>
    </w:p>
    <w:p>
      <w:pPr>
        <w:pStyle w:val="Normal"/>
        <w:tabs>
          <w:tab w:val="clear" w:pos="408"/>
          <w:tab w:val="left" w:pos="870" w:leader="none"/>
          <w:tab w:val="left" w:pos="990" w:leader="none"/>
          <w:tab w:val="left" w:pos="1140" w:leader="none"/>
        </w:tabs>
        <w:spacing w:lineRule="auto" w:line="276" w:before="0" w:after="0"/>
        <w:ind w:firstLine="709"/>
        <w:jc w:val="both"/>
        <w:rPr/>
      </w:pPr>
      <w:r>
        <w:rPr>
          <w:rFonts w:eastAsia="Times New Roman" w:cs="Times New Roman" w:ascii="Times New Roman" w:hAnsi="Times New Roman"/>
          <w:b w:val="false"/>
          <w:bCs w:val="false"/>
          <w:i w:val="false"/>
          <w:iCs w:val="false"/>
          <w:sz w:val="28"/>
          <w:szCs w:val="28"/>
          <w:lang w:eastAsia="ru-RU"/>
        </w:rPr>
        <w:t xml:space="preserve">3. </w:t>
      </w:r>
      <w:bookmarkStart w:id="6" w:name="__DdeLink__2710_4196007271"/>
      <w:r>
        <w:rPr>
          <w:rFonts w:eastAsia="Times New Roman" w:cs="Times New Roman" w:ascii="Times New Roman" w:hAnsi="Times New Roman"/>
          <w:b w:val="false"/>
          <w:bCs w:val="false"/>
          <w:i w:val="false"/>
          <w:iCs w:val="false"/>
          <w:sz w:val="28"/>
          <w:szCs w:val="28"/>
          <w:lang w:eastAsia="ru-RU"/>
        </w:rPr>
        <w:t>В нарушение ст. 34 Бюджетного кодекса РФ принципа эффективности расходования бюджетных средств произведены расходы на оплату расходов по исполнительным листам по судебным расходам на общую сумму</w:t>
      </w:r>
      <w:bookmarkEnd w:id="6"/>
      <w:r>
        <w:rPr>
          <w:rFonts w:eastAsia="Times New Roman" w:cs="Times New Roman" w:ascii="Times New Roman" w:hAnsi="Times New Roman"/>
          <w:b w:val="false"/>
          <w:bCs w:val="false"/>
          <w:i w:val="false"/>
          <w:iCs w:val="false"/>
          <w:sz w:val="28"/>
          <w:szCs w:val="28"/>
          <w:lang w:eastAsia="ru-RU"/>
        </w:rPr>
        <w:t xml:space="preserve"> </w:t>
      </w:r>
      <w:r>
        <w:rPr>
          <w:rFonts w:eastAsia="Times New Roman" w:cs="Times New Roman" w:ascii="Times New Roman" w:hAnsi="Times New Roman"/>
          <w:b w:val="false"/>
          <w:bCs w:val="false"/>
          <w:i w:val="false"/>
          <w:iCs w:val="false"/>
          <w:sz w:val="28"/>
          <w:szCs w:val="28"/>
          <w:lang w:eastAsia="ru-RU"/>
        </w:rPr>
        <w:t>64 000</w:t>
      </w:r>
      <w:r>
        <w:rPr>
          <w:rFonts w:eastAsia="Times New Roman" w:cs="Times New Roman" w:ascii="Times New Roman" w:hAnsi="Times New Roman"/>
          <w:b w:val="false"/>
          <w:bCs w:val="false"/>
          <w:i w:val="false"/>
          <w:iCs w:val="false"/>
          <w:sz w:val="28"/>
          <w:szCs w:val="28"/>
          <w:lang w:eastAsia="ru-RU"/>
        </w:rPr>
        <w:t>,00</w:t>
      </w:r>
      <w:r>
        <w:rPr>
          <w:rFonts w:eastAsia="Calibri" w:cs="Times New Roman" w:ascii="Times New Roman" w:hAnsi="Times New Roman" w:eastAsiaTheme="minorHAnsi"/>
          <w:b w:val="false"/>
          <w:bCs w:val="false"/>
          <w:i w:val="false"/>
          <w:iCs w:val="false"/>
          <w:color w:val="auto"/>
          <w:kern w:val="0"/>
          <w:sz w:val="28"/>
          <w:szCs w:val="28"/>
          <w:lang w:val="ru-RU" w:eastAsia="en-US" w:bidi="ar-SA"/>
        </w:rPr>
        <w:t xml:space="preserve"> </w:t>
      </w:r>
      <w:r>
        <w:rPr>
          <w:rFonts w:eastAsia="Times New Roman" w:cs="Times New Roman" w:ascii="Times New Roman" w:hAnsi="Times New Roman"/>
          <w:b w:val="false"/>
          <w:bCs w:val="false"/>
          <w:i w:val="false"/>
          <w:iCs w:val="false"/>
          <w:sz w:val="28"/>
          <w:szCs w:val="28"/>
          <w:lang w:eastAsia="ru-RU"/>
        </w:rPr>
        <w:t>рублей.</w:t>
      </w:r>
    </w:p>
    <w:p>
      <w:pPr>
        <w:pStyle w:val="Normal"/>
        <w:tabs>
          <w:tab w:val="clear" w:pos="408"/>
          <w:tab w:val="left" w:pos="870" w:leader="none"/>
          <w:tab w:val="left" w:pos="990" w:leader="none"/>
          <w:tab w:val="left" w:pos="1140" w:leader="none"/>
        </w:tabs>
        <w:spacing w:lineRule="auto" w:line="276" w:before="0" w:after="0"/>
        <w:ind w:firstLine="709"/>
        <w:jc w:val="both"/>
        <w:rPr>
          <w:rFonts w:ascii="Times New Roman" w:hAnsi="Times New Roman" w:eastAsia="Times New Roman" w:cs="Times New Roman"/>
          <w:b w:val="false"/>
          <w:b w:val="false"/>
          <w:bCs w:val="false"/>
          <w:i w:val="false"/>
          <w:i w:val="false"/>
          <w:iCs w:val="false"/>
          <w:sz w:val="28"/>
          <w:szCs w:val="28"/>
          <w:lang w:eastAsia="ru-RU"/>
        </w:rPr>
      </w:pPr>
      <w:r>
        <w:rPr/>
      </w:r>
    </w:p>
    <w:p>
      <w:pPr>
        <w:pStyle w:val="Normal"/>
        <w:spacing w:lineRule="auto" w:line="276"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Предложения</w:t>
      </w:r>
    </w:p>
    <w:p>
      <w:pPr>
        <w:pStyle w:val="ListParagraph"/>
        <w:numPr>
          <w:ilvl w:val="0"/>
          <w:numId w:val="1"/>
        </w:numPr>
        <w:tabs>
          <w:tab w:val="clear" w:pos="408"/>
          <w:tab w:val="left" w:pos="851" w:leader="none"/>
          <w:tab w:val="left" w:pos="1134" w:leader="none"/>
          <w:tab w:val="left" w:pos="1418" w:leader="none"/>
        </w:tabs>
        <w:spacing w:lineRule="auto" w:line="276" w:before="0" w:after="0"/>
        <w:ind w:left="0" w:firstLine="709"/>
        <w:contextualSpacing/>
        <w:jc w:val="both"/>
        <w:rPr>
          <w:rFonts w:ascii="Times New Roman" w:hAnsi="Times New Roman" w:eastAsia="Times New Roman" w:cs="Times New Roman"/>
          <w:sz w:val="28"/>
          <w:szCs w:val="28"/>
          <w:lang w:eastAsia="ru-RU"/>
        </w:rPr>
      </w:pPr>
      <w:r>
        <w:rPr>
          <w:rFonts w:ascii="Times New Roman" w:hAnsi="Times New Roman"/>
          <w:sz w:val="28"/>
          <w:szCs w:val="28"/>
        </w:rPr>
        <w:t>Провести работу по снижению дебиторской задолженности                               по доходам.</w:t>
      </w:r>
    </w:p>
    <w:p>
      <w:pPr>
        <w:pStyle w:val="Normal"/>
        <w:spacing w:lineRule="auto" w:line="276" w:before="0" w:after="0"/>
        <w:ind w:firstLine="709"/>
        <w:jc w:val="both"/>
        <w:rPr/>
      </w:pPr>
      <w:r>
        <w:rPr>
          <w:rFonts w:eastAsia="Times New Roman" w:cs="Times New Roman" w:ascii="Times New Roman" w:hAnsi="Times New Roman"/>
          <w:i w:val="false"/>
          <w:iCs w:val="false"/>
          <w:sz w:val="28"/>
          <w:szCs w:val="28"/>
          <w:lang w:eastAsia="ru-RU"/>
        </w:rPr>
        <w:t>2</w:t>
      </w:r>
      <w:r>
        <w:rPr>
          <w:rFonts w:eastAsia="Times New Roman" w:cs="Times New Roman" w:ascii="Times New Roman" w:hAnsi="Times New Roman"/>
          <w:i w:val="false"/>
          <w:iCs w:val="false"/>
          <w:sz w:val="28"/>
          <w:szCs w:val="28"/>
          <w:lang w:eastAsia="ru-RU"/>
        </w:rPr>
        <w:t xml:space="preserve">. </w:t>
      </w:r>
      <w:r>
        <w:rPr>
          <w:rFonts w:eastAsia="Times New Roman" w:cs="Times New Roman" w:ascii="Times New Roman" w:hAnsi="Times New Roman"/>
          <w:i w:val="false"/>
          <w:iCs w:val="false"/>
          <w:sz w:val="28"/>
          <w:szCs w:val="28"/>
          <w:lang w:eastAsia="ru-RU"/>
        </w:rPr>
        <w:t>О</w:t>
      </w:r>
      <w:r>
        <w:rPr>
          <w:rFonts w:eastAsia="Times New Roman" w:cs="Times New Roman" w:ascii="Times New Roman" w:hAnsi="Times New Roman"/>
          <w:i w:val="false"/>
          <w:iCs w:val="false"/>
          <w:sz w:val="28"/>
          <w:szCs w:val="28"/>
          <w:lang w:eastAsia="ru-RU"/>
        </w:rPr>
        <w:t xml:space="preserve">существлять контроль и не допускать просроченной </w:t>
      </w:r>
      <w:r>
        <w:rPr>
          <w:rFonts w:eastAsia="Times New Roman" w:cs="Times New Roman" w:ascii="Times New Roman" w:hAnsi="Times New Roman"/>
          <w:i w:val="false"/>
          <w:iCs w:val="false"/>
          <w:sz w:val="28"/>
          <w:szCs w:val="28"/>
          <w:lang w:eastAsia="ru-RU"/>
        </w:rPr>
        <w:t>и долгосрочной</w:t>
      </w:r>
      <w:r>
        <w:rPr>
          <w:rFonts w:eastAsia="Times New Roman" w:cs="Times New Roman" w:ascii="Times New Roman" w:hAnsi="Times New Roman"/>
          <w:i w:val="false"/>
          <w:iCs w:val="false"/>
          <w:sz w:val="28"/>
          <w:szCs w:val="28"/>
          <w:lang w:eastAsia="ru-RU"/>
        </w:rPr>
        <w:t xml:space="preserve"> дебиторской задолженности.</w:t>
      </w:r>
    </w:p>
    <w:p>
      <w:pPr>
        <w:pStyle w:val="Normal"/>
        <w:spacing w:lineRule="auto" w:line="276" w:before="0" w:after="0"/>
        <w:ind w:firstLine="709"/>
        <w:jc w:val="both"/>
        <w:rPr/>
      </w:pPr>
      <w:r>
        <w:rPr>
          <w:rFonts w:eastAsia="Times New Roman" w:cs="Times New Roman" w:ascii="Times New Roman" w:hAnsi="Times New Roman"/>
          <w:sz w:val="28"/>
          <w:szCs w:val="28"/>
          <w:lang w:eastAsia="ru-RU"/>
        </w:rPr>
        <w:t>3</w:t>
      </w:r>
      <w:r>
        <w:rPr>
          <w:rFonts w:eastAsia="Times New Roman" w:cs="Times New Roman" w:ascii="Times New Roman" w:hAnsi="Times New Roman"/>
          <w:sz w:val="28"/>
          <w:szCs w:val="28"/>
          <w:lang w:eastAsia="ru-RU"/>
        </w:rPr>
        <w:t>. Направить заключение о результатах внешней проверки бюджетной отчетности в Комитет по управлению муниципальным имуществом.</w:t>
      </w:r>
    </w:p>
    <w:p>
      <w:pPr>
        <w:pStyle w:val="Normal"/>
        <w:spacing w:lineRule="auto" w:line="240" w:before="0" w:after="0"/>
        <w:jc w:val="both"/>
        <w:rPr/>
      </w:pPr>
      <w:r>
        <w:rPr/>
      </w:r>
      <w:bookmarkStart w:id="7" w:name="OLE_LINK3"/>
      <w:bookmarkStart w:id="8" w:name="OLE_LINK4"/>
      <w:bookmarkStart w:id="9" w:name="OLE_LINK3"/>
      <w:bookmarkStart w:id="10" w:name="OLE_LINK4"/>
      <w:bookmarkEnd w:id="9"/>
      <w:bookmarkEnd w:id="10"/>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pPr>
      <w:r>
        <w:rPr>
          <w:rFonts w:eastAsia="Calibri" w:cs="Times New Roman" w:ascii="Times New Roman" w:hAnsi="Times New Roman" w:eastAsiaTheme="minorHAnsi"/>
          <w:color w:val="auto"/>
          <w:kern w:val="0"/>
          <w:sz w:val="28"/>
          <w:szCs w:val="28"/>
          <w:lang w:val="ru-RU" w:eastAsia="en-US" w:bidi="ar-SA"/>
        </w:rPr>
        <w:t>Председатель</w:t>
      </w:r>
      <w:r>
        <w:rPr>
          <w:rFonts w:cs="Times New Roman" w:ascii="Times New Roman" w:hAnsi="Times New Roman"/>
          <w:sz w:val="28"/>
          <w:szCs w:val="28"/>
        </w:rPr>
        <w:t xml:space="preserve"> Контрольно-счетной</w:t>
      </w:r>
    </w:p>
    <w:p>
      <w:pPr>
        <w:pStyle w:val="Normal"/>
        <w:spacing w:lineRule="auto" w:line="240" w:before="0" w:after="0"/>
        <w:rPr/>
      </w:pPr>
      <w:r>
        <w:rPr>
          <w:rFonts w:cs="Times New Roman" w:ascii="Times New Roman" w:hAnsi="Times New Roman"/>
          <w:sz w:val="28"/>
          <w:szCs w:val="28"/>
        </w:rPr>
        <w:t xml:space="preserve">комиссии города Канска                                                                </w:t>
      </w:r>
      <w:r>
        <w:rPr>
          <w:rFonts w:cs="Times New Roman" w:ascii="Times New Roman" w:hAnsi="Times New Roman"/>
          <w:sz w:val="28"/>
          <w:szCs w:val="28"/>
          <w:lang w:val="ru-RU"/>
        </w:rPr>
        <w:t>Е</w:t>
      </w:r>
      <w:r>
        <w:rPr>
          <w:rFonts w:cs="Times New Roman" w:ascii="Times New Roman" w:hAnsi="Times New Roman"/>
          <w:sz w:val="28"/>
          <w:szCs w:val="28"/>
        </w:rPr>
        <w:t xml:space="preserve">.В. </w:t>
      </w:r>
      <w:r>
        <w:rPr>
          <w:rFonts w:eastAsia="Calibri" w:cs="Times New Roman" w:ascii="Times New Roman" w:hAnsi="Times New Roman" w:eastAsiaTheme="minorHAnsi"/>
          <w:color w:val="auto"/>
          <w:kern w:val="0"/>
          <w:sz w:val="28"/>
          <w:szCs w:val="28"/>
          <w:lang w:val="ru-RU" w:eastAsia="en-US" w:bidi="ar-SA"/>
        </w:rPr>
        <w:t>Парфенова</w:t>
      </w:r>
    </w:p>
    <w:sectPr>
      <w:footerReference w:type="default" r:id="rId2"/>
      <w:footnotePr>
        <w:numFmt w:val="decimal"/>
      </w:footnotePr>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imes New Roman">
    <w:charset w:val="cc"/>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69936759"/>
    </w:sdtPr>
    <w:sdtContent>
      <w:p>
        <w:pPr>
          <w:pStyle w:val="Style32"/>
          <w:jc w:val="center"/>
          <w:rPr/>
        </w:pP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sdtContent>
  </w:sdt>
  <w:p>
    <w:pPr>
      <w:pStyle w:val="Style32"/>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33"/>
        <w:rPr/>
      </w:pPr>
      <w:r>
        <w:rPr>
          <w:rStyle w:val="Style21"/>
        </w:rPr>
        <w:footnoteRef/>
      </w:r>
      <w:r>
        <w:rPr>
          <w:rFonts w:cs="Times New Roman" w:ascii="Times New Roman" w:hAnsi="Times New Roman"/>
        </w:rPr>
        <w:t>Приказ финансового управления администрации города Канска от 20.12.2021 № 105 о/д</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69" w:hanging="9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bullet"/>
      <w:lvlText w:val=""/>
      <w:lvlJc w:val="left"/>
      <w:pPr>
        <w:tabs>
          <w:tab w:val="num" w:pos="720"/>
        </w:tabs>
        <w:ind w:left="720" w:hanging="360"/>
      </w:pPr>
      <w:rPr>
        <w:rFonts w:ascii="Wingdings" w:hAnsi="Wingdings" w:cs="Wingdings" w:hint="default"/>
        <w:sz w:val="20"/>
        <w:szCs w:val="20"/>
        <w:rFonts w:cs="OpenSymbol"/>
      </w:rPr>
    </w:lvl>
    <w:lvl w:ilvl="1">
      <w:start w:val="1"/>
      <w:numFmt w:val="bullet"/>
      <w:lvlText w:val=""/>
      <w:lvlJc w:val="left"/>
      <w:pPr>
        <w:tabs>
          <w:tab w:val="num" w:pos="1080"/>
        </w:tabs>
        <w:ind w:left="1080" w:hanging="360"/>
      </w:pPr>
      <w:rPr>
        <w:rFonts w:ascii="Wingdings" w:hAnsi="Wingdings" w:cs="Wingdings" w:hint="default"/>
        <w:sz w:val="20"/>
        <w:szCs w:val="20"/>
        <w:rFonts w:cs="OpenSymbol"/>
      </w:rPr>
    </w:lvl>
    <w:lvl w:ilvl="2">
      <w:start w:val="1"/>
      <w:numFmt w:val="bullet"/>
      <w:lvlText w:val=""/>
      <w:lvlJc w:val="left"/>
      <w:pPr>
        <w:tabs>
          <w:tab w:val="num" w:pos="1440"/>
        </w:tabs>
        <w:ind w:left="1440" w:hanging="360"/>
      </w:pPr>
      <w:rPr>
        <w:rFonts w:ascii="Wingdings" w:hAnsi="Wingdings" w:cs="Wingdings" w:hint="default"/>
        <w:sz w:val="20"/>
        <w:szCs w:val="20"/>
        <w:rFonts w:cs="OpenSymbol"/>
      </w:rPr>
    </w:lvl>
    <w:lvl w:ilvl="3">
      <w:start w:val="1"/>
      <w:numFmt w:val="bullet"/>
      <w:lvlText w:val=""/>
      <w:lvlJc w:val="left"/>
      <w:pPr>
        <w:tabs>
          <w:tab w:val="num" w:pos="1800"/>
        </w:tabs>
        <w:ind w:left="1800" w:hanging="360"/>
      </w:pPr>
      <w:rPr>
        <w:rFonts w:ascii="Wingdings" w:hAnsi="Wingdings" w:cs="Wingdings" w:hint="default"/>
        <w:sz w:val="20"/>
        <w:szCs w:val="20"/>
        <w:rFonts w:cs="OpenSymbol"/>
      </w:rPr>
    </w:lvl>
    <w:lvl w:ilvl="4">
      <w:start w:val="1"/>
      <w:numFmt w:val="bullet"/>
      <w:lvlText w:val=""/>
      <w:lvlJc w:val="left"/>
      <w:pPr>
        <w:tabs>
          <w:tab w:val="num" w:pos="2160"/>
        </w:tabs>
        <w:ind w:left="2160" w:hanging="360"/>
      </w:pPr>
      <w:rPr>
        <w:rFonts w:ascii="Wingdings" w:hAnsi="Wingdings" w:cs="Wingdings" w:hint="default"/>
        <w:sz w:val="20"/>
        <w:szCs w:val="20"/>
        <w:rFonts w:cs="OpenSymbol"/>
      </w:rPr>
    </w:lvl>
    <w:lvl w:ilvl="5">
      <w:start w:val="1"/>
      <w:numFmt w:val="bullet"/>
      <w:lvlText w:val=""/>
      <w:lvlJc w:val="left"/>
      <w:pPr>
        <w:tabs>
          <w:tab w:val="num" w:pos="2520"/>
        </w:tabs>
        <w:ind w:left="2520" w:hanging="360"/>
      </w:pPr>
      <w:rPr>
        <w:rFonts w:ascii="Wingdings" w:hAnsi="Wingdings" w:cs="Wingdings" w:hint="default"/>
        <w:sz w:val="20"/>
        <w:szCs w:val="20"/>
        <w:rFonts w:cs="OpenSymbol"/>
      </w:rPr>
    </w:lvl>
    <w:lvl w:ilvl="6">
      <w:start w:val="1"/>
      <w:numFmt w:val="bullet"/>
      <w:lvlText w:val=""/>
      <w:lvlJc w:val="left"/>
      <w:pPr>
        <w:tabs>
          <w:tab w:val="num" w:pos="2880"/>
        </w:tabs>
        <w:ind w:left="2880" w:hanging="360"/>
      </w:pPr>
      <w:rPr>
        <w:rFonts w:ascii="Wingdings" w:hAnsi="Wingdings" w:cs="Wingdings" w:hint="default"/>
        <w:sz w:val="20"/>
        <w:szCs w:val="20"/>
        <w:rFonts w:cs="OpenSymbol"/>
      </w:rPr>
    </w:lvl>
    <w:lvl w:ilvl="7">
      <w:start w:val="1"/>
      <w:numFmt w:val="bullet"/>
      <w:lvlText w:val=""/>
      <w:lvlJc w:val="left"/>
      <w:pPr>
        <w:tabs>
          <w:tab w:val="num" w:pos="3240"/>
        </w:tabs>
        <w:ind w:left="3240" w:hanging="360"/>
      </w:pPr>
      <w:rPr>
        <w:rFonts w:ascii="Wingdings" w:hAnsi="Wingdings" w:cs="Wingdings" w:hint="default"/>
        <w:sz w:val="20"/>
        <w:szCs w:val="20"/>
        <w:rFonts w:cs="OpenSymbol"/>
      </w:rPr>
    </w:lvl>
    <w:lvl w:ilvl="8">
      <w:start w:val="1"/>
      <w:numFmt w:val="bullet"/>
      <w:lvlText w:val=""/>
      <w:lvlJc w:val="left"/>
      <w:pPr>
        <w:tabs>
          <w:tab w:val="num" w:pos="3600"/>
        </w:tabs>
        <w:ind w:left="3600" w:hanging="360"/>
      </w:pPr>
      <w:rPr>
        <w:rFonts w:ascii="Wingdings" w:hAnsi="Wingdings" w:cs="Wingdings" w:hint="default"/>
        <w:sz w:val="20"/>
        <w:szCs w:val="20"/>
        <w:rFonts w:cs="OpenSymbol"/>
      </w:rPr>
    </w:lvl>
  </w:abstractNum>
  <w:abstractNum w:abstractNumId="3">
    <w:lvl w:ilvl="0">
      <w:start w:val="1"/>
      <w:numFmt w:val="bullet"/>
      <w:lvlText w:val=""/>
      <w:lvlJc w:val="left"/>
      <w:pPr>
        <w:tabs>
          <w:tab w:val="num" w:pos="720"/>
        </w:tabs>
        <w:ind w:left="720" w:hanging="360"/>
      </w:pPr>
      <w:rPr>
        <w:rFonts w:ascii="Wingdings" w:hAnsi="Wingdings" w:cs="Wingdings" w:hint="default"/>
        <w:sz w:val="20"/>
        <w:szCs w:val="20"/>
        <w:rFonts w:cs="OpenSymbol"/>
      </w:rPr>
    </w:lvl>
    <w:lvl w:ilvl="1">
      <w:start w:val="1"/>
      <w:numFmt w:val="bullet"/>
      <w:lvlText w:val=""/>
      <w:lvlJc w:val="left"/>
      <w:pPr>
        <w:tabs>
          <w:tab w:val="num" w:pos="1080"/>
        </w:tabs>
        <w:ind w:left="1080" w:hanging="360"/>
      </w:pPr>
      <w:rPr>
        <w:rFonts w:ascii="Wingdings" w:hAnsi="Wingdings" w:cs="Wingdings" w:hint="default"/>
        <w:sz w:val="20"/>
        <w:szCs w:val="20"/>
        <w:rFonts w:cs="OpenSymbol"/>
      </w:rPr>
    </w:lvl>
    <w:lvl w:ilvl="2">
      <w:start w:val="1"/>
      <w:numFmt w:val="bullet"/>
      <w:lvlText w:val=""/>
      <w:lvlJc w:val="left"/>
      <w:pPr>
        <w:tabs>
          <w:tab w:val="num" w:pos="1440"/>
        </w:tabs>
        <w:ind w:left="1440" w:hanging="360"/>
      </w:pPr>
      <w:rPr>
        <w:rFonts w:ascii="Wingdings" w:hAnsi="Wingdings" w:cs="Wingdings" w:hint="default"/>
        <w:sz w:val="20"/>
        <w:szCs w:val="20"/>
        <w:rFonts w:cs="OpenSymbol"/>
      </w:rPr>
    </w:lvl>
    <w:lvl w:ilvl="3">
      <w:start w:val="1"/>
      <w:numFmt w:val="bullet"/>
      <w:lvlText w:val=""/>
      <w:lvlJc w:val="left"/>
      <w:pPr>
        <w:tabs>
          <w:tab w:val="num" w:pos="1800"/>
        </w:tabs>
        <w:ind w:left="1800" w:hanging="360"/>
      </w:pPr>
      <w:rPr>
        <w:rFonts w:ascii="Wingdings" w:hAnsi="Wingdings" w:cs="Wingdings" w:hint="default"/>
        <w:sz w:val="20"/>
        <w:szCs w:val="20"/>
        <w:rFonts w:cs="OpenSymbol"/>
      </w:rPr>
    </w:lvl>
    <w:lvl w:ilvl="4">
      <w:start w:val="1"/>
      <w:numFmt w:val="bullet"/>
      <w:lvlText w:val=""/>
      <w:lvlJc w:val="left"/>
      <w:pPr>
        <w:tabs>
          <w:tab w:val="num" w:pos="2160"/>
        </w:tabs>
        <w:ind w:left="2160" w:hanging="360"/>
      </w:pPr>
      <w:rPr>
        <w:rFonts w:ascii="Wingdings" w:hAnsi="Wingdings" w:cs="Wingdings" w:hint="default"/>
        <w:sz w:val="20"/>
        <w:szCs w:val="20"/>
        <w:rFonts w:cs="OpenSymbol"/>
      </w:rPr>
    </w:lvl>
    <w:lvl w:ilvl="5">
      <w:start w:val="1"/>
      <w:numFmt w:val="bullet"/>
      <w:lvlText w:val=""/>
      <w:lvlJc w:val="left"/>
      <w:pPr>
        <w:tabs>
          <w:tab w:val="num" w:pos="2520"/>
        </w:tabs>
        <w:ind w:left="2520" w:hanging="360"/>
      </w:pPr>
      <w:rPr>
        <w:rFonts w:ascii="Wingdings" w:hAnsi="Wingdings" w:cs="Wingdings" w:hint="default"/>
        <w:sz w:val="20"/>
        <w:szCs w:val="20"/>
        <w:rFonts w:cs="OpenSymbol"/>
      </w:rPr>
    </w:lvl>
    <w:lvl w:ilvl="6">
      <w:start w:val="1"/>
      <w:numFmt w:val="bullet"/>
      <w:lvlText w:val=""/>
      <w:lvlJc w:val="left"/>
      <w:pPr>
        <w:tabs>
          <w:tab w:val="num" w:pos="2880"/>
        </w:tabs>
        <w:ind w:left="2880" w:hanging="360"/>
      </w:pPr>
      <w:rPr>
        <w:rFonts w:ascii="Wingdings" w:hAnsi="Wingdings" w:cs="Wingdings" w:hint="default"/>
        <w:sz w:val="20"/>
        <w:szCs w:val="20"/>
        <w:rFonts w:cs="OpenSymbol"/>
      </w:rPr>
    </w:lvl>
    <w:lvl w:ilvl="7">
      <w:start w:val="1"/>
      <w:numFmt w:val="bullet"/>
      <w:lvlText w:val=""/>
      <w:lvlJc w:val="left"/>
      <w:pPr>
        <w:tabs>
          <w:tab w:val="num" w:pos="3240"/>
        </w:tabs>
        <w:ind w:left="3240" w:hanging="360"/>
      </w:pPr>
      <w:rPr>
        <w:rFonts w:ascii="Wingdings" w:hAnsi="Wingdings" w:cs="Wingdings" w:hint="default"/>
        <w:sz w:val="20"/>
        <w:szCs w:val="20"/>
        <w:rFonts w:cs="OpenSymbol"/>
      </w:rPr>
    </w:lvl>
    <w:lvl w:ilvl="8">
      <w:start w:val="1"/>
      <w:numFmt w:val="bullet"/>
      <w:lvlText w:val=""/>
      <w:lvlJc w:val="left"/>
      <w:pPr>
        <w:tabs>
          <w:tab w:val="num" w:pos="3600"/>
        </w:tabs>
        <w:ind w:left="3600" w:hanging="360"/>
      </w:pPr>
      <w:rPr>
        <w:rFonts w:ascii="Wingdings" w:hAnsi="Wingdings" w:cs="Wingdings" w:hint="default"/>
        <w:sz w:val="20"/>
        <w:szCs w:val="20"/>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408"/>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3250"/>
    <w:pPr>
      <w:widowControl/>
      <w:overflowPunct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000d0f"/>
    <w:rPr/>
  </w:style>
  <w:style w:type="character" w:styleId="Style15" w:customStyle="1">
    <w:name w:val="Нижний колонтитул Знак"/>
    <w:basedOn w:val="DefaultParagraphFont"/>
    <w:uiPriority w:val="99"/>
    <w:qFormat/>
    <w:rsid w:val="00000d0f"/>
    <w:rPr/>
  </w:style>
  <w:style w:type="character" w:styleId="Style16" w:customStyle="1">
    <w:name w:val="Абзац списка Знак"/>
    <w:uiPriority w:val="34"/>
    <w:qFormat/>
    <w:locked/>
    <w:rsid w:val="008a7069"/>
    <w:rPr/>
  </w:style>
  <w:style w:type="character" w:styleId="Style17" w:customStyle="1">
    <w:name w:val="Текст сноски Знак"/>
    <w:basedOn w:val="DefaultParagraphFont"/>
    <w:uiPriority w:val="99"/>
    <w:semiHidden/>
    <w:qFormat/>
    <w:rsid w:val="003b5349"/>
    <w:rPr>
      <w:sz w:val="20"/>
      <w:szCs w:val="20"/>
    </w:rPr>
  </w:style>
  <w:style w:type="character" w:styleId="Style18" w:customStyle="1">
    <w:name w:val="Привязка сноски"/>
    <w:rPr>
      <w:vertAlign w:val="superscript"/>
    </w:rPr>
  </w:style>
  <w:style w:type="character" w:styleId="FootnoteCharacters" w:customStyle="1">
    <w:name w:val="Footnote Characters"/>
    <w:basedOn w:val="DefaultParagraphFont"/>
    <w:uiPriority w:val="99"/>
    <w:semiHidden/>
    <w:unhideWhenUsed/>
    <w:qFormat/>
    <w:rsid w:val="003b5349"/>
    <w:rPr>
      <w:vertAlign w:val="superscript"/>
    </w:rPr>
  </w:style>
  <w:style w:type="character" w:styleId="Style19" w:customStyle="1">
    <w:name w:val="Текст выноски Знак"/>
    <w:basedOn w:val="DefaultParagraphFont"/>
    <w:uiPriority w:val="99"/>
    <w:semiHidden/>
    <w:qFormat/>
    <w:rsid w:val="008b01d8"/>
    <w:rPr>
      <w:rFonts w:ascii="Segoe UI" w:hAnsi="Segoe UI" w:cs="Segoe UI"/>
      <w:sz w:val="18"/>
      <w:szCs w:val="18"/>
    </w:rPr>
  </w:style>
  <w:style w:type="character" w:styleId="Style20" w:customStyle="1">
    <w:name w:val="Интернет-ссылка"/>
    <w:basedOn w:val="DefaultParagraphFont"/>
    <w:uiPriority w:val="99"/>
    <w:unhideWhenUsed/>
    <w:rsid w:val="006d2108"/>
    <w:rPr>
      <w:color w:val="0000FF"/>
      <w:u w:val="single"/>
    </w:rPr>
  </w:style>
  <w:style w:type="character" w:styleId="Style21" w:customStyle="1">
    <w:name w:val="Символ сноски"/>
    <w:qFormat/>
    <w:rPr/>
  </w:style>
  <w:style w:type="character" w:styleId="Style22" w:customStyle="1">
    <w:name w:val="Привязка концевой сноски"/>
    <w:rPr>
      <w:vertAlign w:val="superscript"/>
    </w:rPr>
  </w:style>
  <w:style w:type="character" w:styleId="Style23" w:customStyle="1">
    <w:name w:val="Символ концевой сноски"/>
    <w:qFormat/>
    <w:rPr/>
  </w:style>
  <w:style w:type="character" w:styleId="Style24">
    <w:name w:val="Маркеры списка"/>
    <w:qFormat/>
    <w:rPr>
      <w:rFonts w:ascii="OpenSymbol" w:hAnsi="OpenSymbol" w:eastAsia="OpenSymbol" w:cs="OpenSymbol"/>
      <w:sz w:val="20"/>
      <w:szCs w:val="20"/>
    </w:rPr>
  </w:style>
  <w:style w:type="paragraph" w:styleId="Style25" w:customStyle="1">
    <w:name w:val="Заголовок"/>
    <w:basedOn w:val="Normal"/>
    <w:next w:val="Style26"/>
    <w:qFormat/>
    <w:pPr>
      <w:keepNext w:val="true"/>
      <w:spacing w:before="240" w:after="120"/>
    </w:pPr>
    <w:rPr>
      <w:rFonts w:ascii="Liberation Sans" w:hAnsi="Liberation Sans" w:eastAsia="Microsoft YaHei" w:cs="Arial"/>
      <w:sz w:val="28"/>
      <w:szCs w:val="28"/>
    </w:rPr>
  </w:style>
  <w:style w:type="paragraph" w:styleId="Style26">
    <w:name w:val="Body Text"/>
    <w:basedOn w:val="Normal"/>
    <w:pPr>
      <w:spacing w:before="0" w:after="140"/>
    </w:pPr>
    <w:rPr/>
  </w:style>
  <w:style w:type="paragraph" w:styleId="Style27">
    <w:name w:val="List"/>
    <w:basedOn w:val="Style26"/>
    <w:pPr/>
    <w:rPr>
      <w:rFonts w:cs="Arial"/>
    </w:rPr>
  </w:style>
  <w:style w:type="paragraph" w:styleId="Style28">
    <w:name w:val="Caption"/>
    <w:basedOn w:val="Normal"/>
    <w:qFormat/>
    <w:pPr>
      <w:suppressLineNumbers/>
      <w:spacing w:before="120" w:after="120"/>
    </w:pPr>
    <w:rPr>
      <w:rFonts w:cs="Arial"/>
      <w:i/>
      <w:iCs/>
      <w:sz w:val="24"/>
      <w:szCs w:val="24"/>
    </w:rPr>
  </w:style>
  <w:style w:type="paragraph" w:styleId="Style29">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ListParagraph">
    <w:name w:val="List Paragraph"/>
    <w:basedOn w:val="Normal"/>
    <w:uiPriority w:val="34"/>
    <w:qFormat/>
    <w:rsid w:val="0060388e"/>
    <w:pPr>
      <w:spacing w:before="0" w:after="200"/>
      <w:ind w:left="720" w:hanging="0"/>
      <w:contextualSpacing/>
    </w:pPr>
    <w:rPr/>
  </w:style>
  <w:style w:type="paragraph" w:styleId="ConsPlusNormal" w:customStyle="1">
    <w:name w:val="ConsPlusNormal"/>
    <w:qFormat/>
    <w:rsid w:val="00a17996"/>
    <w:pPr>
      <w:widowControl/>
      <w:overflowPunct w:val="true"/>
      <w:bidi w:val="0"/>
      <w:spacing w:before="0" w:after="0"/>
      <w:jc w:val="left"/>
    </w:pPr>
    <w:rPr>
      <w:rFonts w:ascii="Arial" w:hAnsi="Arial" w:eastAsia="Calibri" w:cs="Arial" w:eastAsiaTheme="minorHAnsi"/>
      <w:color w:val="auto"/>
      <w:kern w:val="0"/>
      <w:sz w:val="22"/>
      <w:szCs w:val="20"/>
      <w:lang w:val="ru-RU" w:eastAsia="en-US" w:bidi="ar-SA"/>
    </w:rPr>
  </w:style>
  <w:style w:type="paragraph" w:styleId="Style30">
    <w:name w:val="Верхний и нижний колонтитулы"/>
    <w:basedOn w:val="Normal"/>
    <w:qFormat/>
    <w:pPr/>
    <w:rPr/>
  </w:style>
  <w:style w:type="paragraph" w:styleId="Style31">
    <w:name w:val="Header"/>
    <w:basedOn w:val="Normal"/>
    <w:uiPriority w:val="99"/>
    <w:unhideWhenUsed/>
    <w:rsid w:val="00000d0f"/>
    <w:pPr>
      <w:tabs>
        <w:tab w:val="clear" w:pos="408"/>
        <w:tab w:val="center" w:pos="4677" w:leader="none"/>
        <w:tab w:val="right" w:pos="9355" w:leader="none"/>
      </w:tabs>
      <w:spacing w:lineRule="auto" w:line="240" w:before="0" w:after="0"/>
    </w:pPr>
    <w:rPr/>
  </w:style>
  <w:style w:type="paragraph" w:styleId="Style32">
    <w:name w:val="Footer"/>
    <w:basedOn w:val="Normal"/>
    <w:uiPriority w:val="99"/>
    <w:unhideWhenUsed/>
    <w:rsid w:val="00000d0f"/>
    <w:pPr>
      <w:tabs>
        <w:tab w:val="clear" w:pos="408"/>
        <w:tab w:val="center" w:pos="4677" w:leader="none"/>
        <w:tab w:val="right" w:pos="9355" w:leader="none"/>
      </w:tabs>
      <w:spacing w:lineRule="auto" w:line="240" w:before="0" w:after="0"/>
    </w:pPr>
    <w:rPr/>
  </w:style>
  <w:style w:type="paragraph" w:styleId="Style33">
    <w:name w:val="Footnote Text"/>
    <w:basedOn w:val="Normal"/>
    <w:uiPriority w:val="99"/>
    <w:semiHidden/>
    <w:unhideWhenUsed/>
    <w:rsid w:val="003b5349"/>
    <w:pPr>
      <w:spacing w:lineRule="auto" w:line="240" w:before="0" w:after="0"/>
    </w:pPr>
    <w:rPr>
      <w:sz w:val="20"/>
      <w:szCs w:val="20"/>
    </w:rPr>
  </w:style>
  <w:style w:type="paragraph" w:styleId="BalloonText">
    <w:name w:val="Balloon Text"/>
    <w:basedOn w:val="Normal"/>
    <w:uiPriority w:val="99"/>
    <w:semiHidden/>
    <w:unhideWhenUsed/>
    <w:qFormat/>
    <w:rsid w:val="008b01d8"/>
    <w:pPr>
      <w:spacing w:lineRule="auto" w:line="240" w:before="0" w:after="0"/>
    </w:pPr>
    <w:rPr>
      <w:rFonts w:ascii="Segoe UI" w:hAnsi="Segoe UI" w:cs="Segoe UI"/>
      <w:sz w:val="18"/>
      <w:szCs w:val="18"/>
    </w:rPr>
  </w:style>
  <w:style w:type="paragraph" w:styleId="ConsPlusNonformat">
    <w:name w:val="ConsPlusNonformat"/>
    <w:qFormat/>
    <w:pPr>
      <w:widowControl/>
      <w:overflowPunct w:val="true"/>
      <w:bidi w:val="0"/>
      <w:spacing w:before="0" w:after="0"/>
      <w:jc w:val="left"/>
    </w:pPr>
    <w:rPr>
      <w:rFonts w:ascii="Courier New" w:hAnsi="Courier New" w:eastAsia="Times New Roman" w:cs="Courier New"/>
      <w:color w:val="auto"/>
      <w:kern w:val="0"/>
      <w:sz w:val="22"/>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6">
    <w:name w:val="Table Grid"/>
    <w:basedOn w:val="a1"/>
    <w:uiPriority w:val="59"/>
    <w:rsid w:val="004b4d9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8308F-E576-4674-8C65-CF3D854D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3140</TotalTime>
  <Application>LibreOffice/6.3.6.2$Windows_x86 LibreOffice_project/2196df99b074d8a661f4036fca8fa0cbfa33a497</Application>
  <Pages>5</Pages>
  <Words>1189</Words>
  <Characters>7815</Characters>
  <CharactersWithSpaces>9587</CharactersWithSpaces>
  <Paragraphs>66</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2017-03-14T08:25:00Z</dcterms:created>
  <dc:creator>sk</dc:creator>
  <dc:description/>
  <dc:language>ru-RU</dc:language>
  <cp:lastModifiedBy/>
  <cp:lastPrinted>2022-04-06T10:29:59Z</cp:lastPrinted>
  <dcterms:modified xsi:type="dcterms:W3CDTF">2022-04-06T10:30:06Z</dcterms:modified>
  <cp:revision>160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