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6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КОНТРОЛЬНО-СЧЕТНАЯ КОМИССИЯ ГОРОДА КАНСКА</w:t>
      </w:r>
    </w:p>
    <w:p>
      <w:pPr>
        <w:pStyle w:val="Normal"/>
        <w:pBdr>
          <w:top w:val="double" w:sz="6" w:space="1" w:color="000000"/>
        </w:pBdr>
        <w:spacing w:before="0" w:after="120"/>
        <w:ind w:firstLine="5245"/>
        <w:jc w:val="center"/>
        <w:rPr>
          <w:sz w:val="28"/>
          <w:szCs w:val="28"/>
        </w:rPr>
      </w:pPr>
      <w:r>
        <w:rPr>
          <w:sz w:val="28"/>
          <w:szCs w:val="28"/>
        </w:rPr>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Утверждаю</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Председатель Контрольно-счетной </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комиссии города Канска</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Е.В.  Парфенова</w:t>
      </w:r>
    </w:p>
    <w:p>
      <w:pPr>
        <w:pStyle w:val="Normal"/>
        <w:pBdr>
          <w:top w:val="double" w:sz="6" w:space="1" w:color="000000"/>
        </w:pBdr>
        <w:spacing w:before="0" w:after="120"/>
        <w:jc w:val="center"/>
        <w:rPr/>
      </w:pPr>
      <w:r>
        <w:rPr>
          <w:rFonts w:cs="Times New Roman" w:ascii="Times New Roman" w:hAnsi="Times New Roman"/>
          <w:sz w:val="26"/>
          <w:szCs w:val="26"/>
        </w:rPr>
        <w:t xml:space="preserve">                                            </w:t>
      </w:r>
      <w:r>
        <w:rPr>
          <w:rFonts w:cs="Times New Roman" w:ascii="Times New Roman" w:hAnsi="Times New Roman"/>
          <w:sz w:val="26"/>
          <w:szCs w:val="26"/>
          <w:u w:val="single"/>
        </w:rPr>
        <w:t>"      "                     2021</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ЗАКЛЮЧЕНИЕ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результатам внешней проверки годовой бюджетной отчетности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Контрольно-счетной комиссии города Канска </w:t>
      </w:r>
    </w:p>
    <w:p>
      <w:pPr>
        <w:pStyle w:val="Normal"/>
        <w:spacing w:lineRule="auto" w:line="240" w:before="0" w:after="0"/>
        <w:jc w:val="center"/>
        <w:rPr/>
      </w:pPr>
      <w:r>
        <w:rPr>
          <w:rFonts w:eastAsia="Times New Roman" w:cs="Times New Roman" w:ascii="Times New Roman" w:hAnsi="Times New Roman"/>
          <w:b/>
          <w:sz w:val="28"/>
          <w:szCs w:val="28"/>
          <w:lang w:eastAsia="ru-RU"/>
        </w:rPr>
        <w:t>за 2020 год</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Основание для проведения проверки:</w:t>
      </w:r>
      <w:r>
        <w:rPr>
          <w:rFonts w:ascii="Times New Roman" w:hAnsi="Times New Roman"/>
          <w:i w:val="false"/>
          <w:iCs w:val="false"/>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ascii="Times New Roman" w:hAnsi="Times New Roman"/>
          <w:b w:val="false"/>
          <w:bCs w:val="false"/>
          <w:i w:val="false"/>
          <w:iCs w:val="false"/>
          <w:sz w:val="28"/>
          <w:szCs w:val="28"/>
        </w:rPr>
        <w:t>,</w:t>
      </w:r>
      <w:r>
        <w:rPr>
          <w:rFonts w:ascii="Times New Roman" w:hAnsi="Times New Roman"/>
          <w:b/>
          <w:i w:val="false"/>
          <w:iCs w:val="false"/>
          <w:sz w:val="28"/>
          <w:szCs w:val="28"/>
        </w:rPr>
        <w:t xml:space="preserve"> </w:t>
      </w:r>
      <w:r>
        <w:rPr>
          <w:rFonts w:ascii="Times New Roman" w:hAnsi="Times New Roman"/>
          <w:i w:val="false"/>
          <w:iCs w:val="false"/>
          <w:sz w:val="28"/>
          <w:szCs w:val="28"/>
        </w:rPr>
        <w:t>пункт 1.</w:t>
      </w:r>
      <w:r>
        <w:rPr>
          <w:rFonts w:eastAsia="Calibri" w:ascii="Times New Roman" w:hAnsi="Times New Roman"/>
          <w:i w:val="false"/>
          <w:iCs w:val="false"/>
          <w:color w:val="auto"/>
          <w:kern w:val="0"/>
          <w:sz w:val="28"/>
          <w:szCs w:val="28"/>
          <w:lang w:val="ru-RU" w:eastAsia="en-US" w:bidi="ar-SA"/>
        </w:rPr>
        <w:t>2</w:t>
      </w:r>
      <w:r>
        <w:rPr>
          <w:rFonts w:ascii="Times New Roman" w:hAnsi="Times New Roman"/>
          <w:i w:val="false"/>
          <w:iCs w:val="false"/>
          <w:sz w:val="28"/>
          <w:szCs w:val="28"/>
        </w:rPr>
        <w:t xml:space="preserve"> плана работы Контрольно-счетной комиссии города Канска на 2021 год.</w:t>
      </w:r>
    </w:p>
    <w:p>
      <w:pPr>
        <w:pStyle w:val="ListParagraph"/>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Объект проверки:</w:t>
      </w:r>
      <w:r>
        <w:rPr>
          <w:rFonts w:ascii="Times New Roman" w:hAnsi="Times New Roman"/>
          <w:i w:val="false"/>
          <w:iCs w:val="false"/>
          <w:sz w:val="28"/>
          <w:szCs w:val="28"/>
        </w:rPr>
        <w:t xml:space="preserve"> главный администратор средств</w:t>
      </w:r>
      <w:r>
        <w:rPr>
          <w:rFonts w:ascii="Times New Roman" w:hAnsi="Times New Roman"/>
          <w:b/>
          <w:i w:val="false"/>
          <w:iCs w:val="false"/>
          <w:sz w:val="28"/>
          <w:szCs w:val="28"/>
        </w:rPr>
        <w:t xml:space="preserve"> </w:t>
      </w:r>
      <w:r>
        <w:rPr>
          <w:rFonts w:ascii="Times New Roman" w:hAnsi="Times New Roman"/>
          <w:i w:val="false"/>
          <w:iCs w:val="false"/>
          <w:sz w:val="28"/>
          <w:szCs w:val="28"/>
        </w:rPr>
        <w:t xml:space="preserve">городского бюджета, главный распорядитель бюджетных средств (далее – ГРБС) - </w:t>
      </w:r>
      <w:r>
        <w:rPr>
          <w:rFonts w:eastAsia="Times New Roman" w:cs="Times New Roman" w:ascii="Times New Roman" w:hAnsi="Times New Roman"/>
          <w:i w:val="false"/>
          <w:iCs w:val="false"/>
          <w:sz w:val="28"/>
          <w:szCs w:val="28"/>
          <w:lang w:eastAsia="ru-RU"/>
        </w:rPr>
        <w:t xml:space="preserve">Контрольно-счетная комиссия города Канска </w:t>
      </w:r>
      <w:r>
        <w:rPr>
          <w:rFonts w:ascii="Times New Roman" w:hAnsi="Times New Roman"/>
          <w:i w:val="false"/>
          <w:iCs w:val="false"/>
          <w:sz w:val="28"/>
          <w:szCs w:val="28"/>
        </w:rPr>
        <w:t>(далее – Контрольно-счетная комиссия).</w:t>
      </w:r>
    </w:p>
    <w:p>
      <w:pPr>
        <w:pStyle w:val="ListParagraph"/>
        <w:widowControl w:val="false"/>
        <w:tabs>
          <w:tab w:val="clear" w:pos="709"/>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Цель проверки:</w:t>
      </w:r>
      <w:r>
        <w:rPr>
          <w:rFonts w:ascii="Times New Roman" w:hAnsi="Times New Roman"/>
          <w:i w:val="false"/>
          <w:iCs w:val="false"/>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pPr>
        <w:pStyle w:val="ListParagraph"/>
        <w:widowControl w:val="false"/>
        <w:tabs>
          <w:tab w:val="clear" w:pos="709"/>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Форма проверки:</w:t>
      </w:r>
      <w:r>
        <w:rPr>
          <w:rFonts w:ascii="Times New Roman" w:hAnsi="Times New Roman"/>
          <w:i w:val="false"/>
          <w:iCs w:val="false"/>
          <w:sz w:val="28"/>
          <w:szCs w:val="28"/>
        </w:rPr>
        <w:t xml:space="preserve"> экспертно-аналитическое мероприятие.</w:t>
      </w:r>
    </w:p>
    <w:p>
      <w:pPr>
        <w:pStyle w:val="ListParagraph"/>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Проверяемый период:</w:t>
      </w:r>
      <w:r>
        <w:rPr>
          <w:rFonts w:ascii="Times New Roman" w:hAnsi="Times New Roman"/>
          <w:i w:val="false"/>
          <w:iCs w:val="false"/>
          <w:sz w:val="28"/>
          <w:szCs w:val="28"/>
        </w:rPr>
        <w:t xml:space="preserve"> 2020 год.</w:t>
      </w:r>
    </w:p>
    <w:p>
      <w:pPr>
        <w:pStyle w:val="ListParagraph"/>
        <w:widowControl w:val="false"/>
        <w:tabs>
          <w:tab w:val="clear" w:pos="709"/>
          <w:tab w:val="left" w:pos="993" w:leader="none"/>
        </w:tabs>
        <w:spacing w:lineRule="auto" w:line="276" w:before="0" w:after="0"/>
        <w:ind w:left="0" w:right="0" w:firstLine="709"/>
        <w:contextualSpacing/>
        <w:jc w:val="both"/>
        <w:rPr>
          <w:rFonts w:ascii="Times New Roman" w:hAnsi="Times New Roman"/>
          <w:i w:val="false"/>
          <w:i w:val="false"/>
          <w:iCs w:val="false"/>
          <w:sz w:val="28"/>
          <w:szCs w:val="28"/>
          <w:highlight w:val="lightGray"/>
        </w:rPr>
      </w:pPr>
      <w:r>
        <w:rPr>
          <w:rFonts w:ascii="Times New Roman" w:hAnsi="Times New Roman"/>
          <w:i w:val="false"/>
          <w:iCs w:val="false"/>
          <w:sz w:val="28"/>
          <w:szCs w:val="28"/>
          <w:highlight w:val="lightGray"/>
        </w:rPr>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В результате проверки бюджетной отчетности за 2020 год установлено следующее:</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1. Бюджетная отчетность Контрольно-счетной комиссии</w:t>
      </w:r>
      <w:r>
        <w:rPr>
          <w:rFonts w:ascii="Times New Roman" w:hAnsi="Times New Roman"/>
          <w:i w:val="false"/>
          <w:iCs w:val="false"/>
          <w:sz w:val="28"/>
          <w:szCs w:val="28"/>
        </w:rPr>
        <w:t xml:space="preserve"> за 2020 год</w:t>
      </w:r>
      <w:r>
        <w:rPr>
          <w:rFonts w:eastAsia="Times New Roman" w:cs="Times New Roman" w:ascii="Times New Roman" w:hAnsi="Times New Roman"/>
          <w:i w:val="false"/>
          <w:iCs w:val="false"/>
          <w:sz w:val="28"/>
          <w:szCs w:val="28"/>
          <w:lang w:eastAsia="ru-RU"/>
        </w:rPr>
        <w:t xml:space="preserve"> представлена в финансовое управление администрации города Канска 20.01.2021 года, что соответствует срокам ее предоставления, установленным финансовым управлением администрации города Канска.</w:t>
      </w:r>
      <w:r>
        <w:rPr>
          <w:rStyle w:val="Style18"/>
          <w:rFonts w:eastAsia="Times New Roman" w:cs="Times New Roman" w:ascii="Times New Roman" w:hAnsi="Times New Roman"/>
          <w:i w:val="false"/>
          <w:iCs w:val="false"/>
          <w:sz w:val="28"/>
          <w:szCs w:val="28"/>
          <w:lang w:eastAsia="ru-RU"/>
        </w:rPr>
        <w:footnoteReference w:id="2"/>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2. Бюджетная отчетность за 2020 год представлена в Контрольно-счетную комиссию города Канска в срок указанный в сопроводительном письме о представлении документов от 18.02.2021 № 06/01-18 (сопроводительное письмо МКУ «ЦБ»</w:t>
      </w:r>
      <w:r>
        <w:rPr>
          <w:rFonts w:ascii="Times New Roman" w:hAnsi="Times New Roman"/>
          <w:i w:val="false"/>
          <w:iCs w:val="false"/>
          <w:sz w:val="28"/>
          <w:szCs w:val="28"/>
        </w:rPr>
        <w:t xml:space="preserve"> </w:t>
      </w:r>
      <w:r>
        <w:rPr>
          <w:rFonts w:eastAsia="Times New Roman" w:cs="Times New Roman" w:ascii="Times New Roman" w:hAnsi="Times New Roman"/>
          <w:i w:val="false"/>
          <w:iCs w:val="false"/>
          <w:sz w:val="28"/>
          <w:szCs w:val="28"/>
          <w:lang w:eastAsia="ru-RU"/>
        </w:rPr>
        <w:t>от 25.02.2021 № б/н).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3. Ведение бюджетного учета в 2020 году осуществляется самостоятельным юридическим лицом МКУ «ЦБ» на основании заключенного договора № 02 от 10.03.2015 «О бухгалтерском обслуживании»</w:t>
      </w:r>
      <w:r>
        <w:rPr>
          <w:rFonts w:cs="Times New Roman" w:ascii="Times New Roman" w:hAnsi="Times New Roman"/>
          <w:sz w:val="28"/>
          <w:szCs w:val="28"/>
        </w:rPr>
        <w:t>.</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Решением Канского городского Совета депутатов от 17.12.2019            № 46-277 </w:t>
      </w:r>
      <w:r>
        <w:rPr>
          <w:rFonts w:eastAsia="Times New Roman" w:cs="Times New Roman" w:ascii="Times New Roman" w:hAnsi="Times New Roman"/>
          <w:b w:val="false"/>
          <w:bCs w:val="false"/>
          <w:sz w:val="28"/>
          <w:szCs w:val="28"/>
          <w:lang w:eastAsia="ru-RU"/>
        </w:rPr>
        <w:t xml:space="preserve">«О бюджете города Канска на 2020 год и плановый период 2021-2022 годов», </w:t>
      </w:r>
      <w:r>
        <w:rPr>
          <w:rFonts w:eastAsia="Times New Roman" w:cs="Times New Roman" w:ascii="Times New Roman" w:hAnsi="Times New Roman"/>
          <w:b w:val="false"/>
          <w:bCs w:val="false"/>
          <w:i w:val="false"/>
          <w:iCs w:val="false"/>
          <w:sz w:val="28"/>
          <w:szCs w:val="28"/>
          <w:lang w:eastAsia="ru-RU"/>
        </w:rPr>
        <w:t>Контрольно-счетная комиссия</w:t>
      </w:r>
      <w:r>
        <w:rPr>
          <w:rFonts w:eastAsia="Times New Roman" w:cs="Times New Roman" w:ascii="Times New Roman" w:hAnsi="Times New Roman"/>
          <w:b w:val="false"/>
          <w:bCs w:val="false"/>
          <w:sz w:val="28"/>
          <w:szCs w:val="28"/>
          <w:lang w:eastAsia="ru-RU"/>
        </w:rPr>
        <w:t xml:space="preserve"> отражена в ведомственной структуре расходов городского бюджета как главный распорядитель бюджетных средств.</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sz w:val="28"/>
          <w:szCs w:val="28"/>
          <w:lang w:eastAsia="ru-RU"/>
        </w:rPr>
        <w:t xml:space="preserve">Таким образом, в состав бюджетной отчетности  </w:t>
      </w:r>
      <w:r>
        <w:rPr>
          <w:rFonts w:eastAsia="Times New Roman" w:cs="Times New Roman" w:ascii="Times New Roman" w:hAnsi="Times New Roman"/>
          <w:b w:val="false"/>
          <w:bCs w:val="false"/>
          <w:i w:val="false"/>
          <w:iCs w:val="false"/>
          <w:sz w:val="28"/>
          <w:szCs w:val="28"/>
          <w:lang w:eastAsia="ru-RU"/>
        </w:rPr>
        <w:t xml:space="preserve">Контрольно-счетной комиссии </w:t>
      </w:r>
      <w:r>
        <w:rPr>
          <w:rFonts w:eastAsia="Times New Roman" w:cs="Times New Roman" w:ascii="Times New Roman" w:hAnsi="Times New Roman"/>
          <w:b w:val="false"/>
          <w:bCs w:val="false"/>
          <w:sz w:val="28"/>
          <w:szCs w:val="28"/>
          <w:lang w:eastAsia="ru-RU"/>
        </w:rPr>
        <w:t>включаются формы бюджетной отчетности, указанные в п. 11.1 Инструкции № 191н.</w:t>
      </w:r>
    </w:p>
    <w:p>
      <w:pPr>
        <w:pStyle w:val="Normal"/>
        <w:spacing w:lineRule="auto" w:line="276" w:before="0" w:after="0"/>
        <w:ind w:left="0" w:right="0" w:firstLine="709"/>
        <w:contextualSpacing/>
        <w:jc w:val="both"/>
        <w:rPr/>
      </w:pPr>
      <w:r>
        <w:rPr>
          <w:rFonts w:cs="Times New Roman" w:ascii="Times New Roman" w:hAnsi="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w:t>
      </w:r>
      <w:r>
        <w:rPr>
          <w:rFonts w:cs="Times New Roman" w:ascii="Times New Roman" w:hAnsi="Times New Roman"/>
          <w:i w:val="false"/>
          <w:iCs w:val="false"/>
          <w:color w:val="000000"/>
          <w:sz w:val="28"/>
          <w:szCs w:val="28"/>
        </w:rPr>
        <w:t xml:space="preserve">Контрольно-счетной комиссией </w:t>
      </w:r>
      <w:r>
        <w:rPr>
          <w:rFonts w:eastAsia="Times New Roman" w:cs="Times New Roman" w:ascii="Times New Roman" w:hAnsi="Times New Roman"/>
          <w:b w:val="false"/>
          <w:bCs w:val="false"/>
          <w:color w:val="000000"/>
          <w:sz w:val="28"/>
          <w:szCs w:val="28"/>
          <w:lang w:eastAsia="ru-RU"/>
        </w:rPr>
        <w:t>создана постоянно действующая комиссия, которой была проведена инвентаризация, расхождений по результатам не выявлено.</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i w:val="false"/>
          <w:iCs w:val="false"/>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2020 год: 0503184, 0503125, 0503166, 0503167, 0503190, 0503191, 0503192, 0503193, 0503171, 0503172, 0503173, 0503174, 0503175, 0503178, 0503296, таблицы 6, 8.</w:t>
      </w:r>
    </w:p>
    <w:p>
      <w:pPr>
        <w:pStyle w:val="Normal"/>
        <w:spacing w:lineRule="auto" w:line="276" w:before="0" w:after="0"/>
        <w:ind w:left="0" w:right="0" w:firstLine="709"/>
        <w:jc w:val="both"/>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spacing w:lineRule="auto" w:line="276" w:before="0" w:after="0"/>
        <w:ind w:left="0" w:right="0" w:firstLine="709"/>
        <w:jc w:val="center"/>
        <w:rPr>
          <w:rFonts w:ascii="Times New Roman" w:hAnsi="Times New Roman"/>
          <w:i w:val="false"/>
          <w:i w:val="false"/>
          <w:iCs w:val="false"/>
          <w:sz w:val="28"/>
          <w:szCs w:val="28"/>
        </w:rPr>
      </w:pPr>
      <w:r>
        <w:rPr>
          <w:rFonts w:ascii="Times New Roman" w:hAnsi="Times New Roman"/>
          <w:b/>
          <w:i w:val="false"/>
          <w:iCs w:val="false"/>
          <w:sz w:val="28"/>
          <w:szCs w:val="28"/>
        </w:rPr>
        <w:t>Оценка исполнения бюджета, соблюдения бюджетного законодательства</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widowControl w:val="false"/>
        <w:spacing w:lineRule="auto" w:line="276" w:before="0" w:after="0"/>
        <w:ind w:left="0" w:right="0" w:firstLine="709"/>
        <w:contextualSpacing/>
        <w:jc w:val="both"/>
        <w:rPr/>
      </w:pPr>
      <w:r>
        <w:rPr>
          <w:rFonts w:cs="Times New Roman" w:ascii="Times New Roman" w:hAnsi="Times New Roman"/>
          <w:i w:val="false"/>
          <w:iCs w:val="false"/>
          <w:color w:val="111111"/>
          <w:sz w:val="28"/>
          <w:szCs w:val="28"/>
        </w:rPr>
        <w:t xml:space="preserve">Доходная часть исполнена на </w:t>
      </w:r>
      <w:r>
        <w:rPr>
          <w:rFonts w:cs="Times New Roman" w:ascii="Times New Roman" w:hAnsi="Times New Roman"/>
          <w:b/>
          <w:bCs/>
          <w:i w:val="false"/>
          <w:iCs w:val="false"/>
          <w:color w:val="111111"/>
          <w:sz w:val="28"/>
          <w:szCs w:val="28"/>
        </w:rPr>
        <w:t>100 %</w:t>
      </w:r>
      <w:r>
        <w:rPr>
          <w:rFonts w:cs="Times New Roman" w:ascii="Times New Roman" w:hAnsi="Times New Roman"/>
          <w:i w:val="false"/>
          <w:iCs w:val="false"/>
          <w:color w:val="111111"/>
          <w:sz w:val="28"/>
          <w:szCs w:val="28"/>
        </w:rPr>
        <w:t xml:space="preserve">, план </w:t>
      </w:r>
      <w:r>
        <w:rPr>
          <w:rFonts w:cs="Times New Roman" w:ascii="Times New Roman" w:hAnsi="Times New Roman"/>
          <w:b/>
          <w:bCs/>
          <w:i w:val="false"/>
          <w:iCs w:val="false"/>
          <w:color w:val="111111"/>
          <w:sz w:val="28"/>
          <w:szCs w:val="28"/>
        </w:rPr>
        <w:t>20 000,00</w:t>
      </w:r>
      <w:r>
        <w:rPr>
          <w:rFonts w:cs="Times New Roman" w:ascii="Times New Roman" w:hAnsi="Times New Roman"/>
          <w:i w:val="false"/>
          <w:iCs w:val="false"/>
          <w:color w:val="111111"/>
          <w:sz w:val="28"/>
          <w:szCs w:val="28"/>
        </w:rPr>
        <w:t xml:space="preserve"> рублей и факт      </w:t>
      </w:r>
      <w:r>
        <w:rPr>
          <w:rFonts w:eastAsia="Calibri" w:cs="Times New Roman" w:ascii="Times New Roman" w:hAnsi="Times New Roman"/>
          <w:b/>
          <w:bCs/>
          <w:i w:val="false"/>
          <w:iCs w:val="false"/>
          <w:color w:val="111111"/>
          <w:kern w:val="0"/>
          <w:sz w:val="28"/>
          <w:szCs w:val="28"/>
          <w:lang w:val="ru-RU" w:eastAsia="en-US" w:bidi="ar-SA"/>
        </w:rPr>
        <w:t>20 000,00</w:t>
      </w:r>
      <w:r>
        <w:rPr>
          <w:rFonts w:cs="Times New Roman" w:ascii="Times New Roman" w:hAnsi="Times New Roman"/>
          <w:b/>
          <w:bCs/>
          <w:i w:val="false"/>
          <w:iCs w:val="false"/>
          <w:color w:val="111111"/>
          <w:sz w:val="28"/>
          <w:szCs w:val="28"/>
        </w:rPr>
        <w:t xml:space="preserve"> </w:t>
      </w:r>
      <w:r>
        <w:rPr>
          <w:rFonts w:cs="Times New Roman" w:ascii="Times New Roman" w:hAnsi="Times New Roman"/>
          <w:i w:val="false"/>
          <w:iCs w:val="false"/>
          <w:color w:val="111111"/>
          <w:sz w:val="28"/>
          <w:szCs w:val="28"/>
        </w:rPr>
        <w:t>рублей (ф. 0503164).</w:t>
      </w:r>
    </w:p>
    <w:p>
      <w:pPr>
        <w:pStyle w:val="Normal"/>
        <w:widowControl w:val="false"/>
        <w:spacing w:lineRule="auto" w:line="276" w:before="0" w:after="0"/>
        <w:ind w:left="0" w:right="0" w:firstLine="709"/>
        <w:contextualSpacing/>
        <w:jc w:val="both"/>
        <w:rPr/>
      </w:pPr>
      <w:r>
        <w:rPr>
          <w:rFonts w:ascii="Times New Roman" w:hAnsi="Times New Roman"/>
          <w:i w:val="false"/>
          <w:iCs w:val="false"/>
          <w:sz w:val="28"/>
          <w:szCs w:val="28"/>
        </w:rPr>
        <w:t xml:space="preserve">Решением Канского городского Совета депутатов </w:t>
      </w:r>
      <w:r>
        <w:rPr>
          <w:rFonts w:eastAsia="Calibri" w:cs="" w:ascii="Times New Roman" w:hAnsi="Times New Roman" w:cstheme="minorBidi" w:eastAsiaTheme="minorHAnsi"/>
          <w:i w:val="false"/>
          <w:iCs w:val="false"/>
          <w:sz w:val="28"/>
          <w:szCs w:val="28"/>
        </w:rPr>
        <w:t>от 17.12.2019                               № 46-277 «О бюджете города Канска на 2020 год и плановый период 2021 – 2022 годов»</w:t>
      </w:r>
      <w:r>
        <w:rPr>
          <w:rFonts w:ascii="Times New Roman" w:hAnsi="Times New Roman"/>
          <w:i w:val="false"/>
          <w:iCs w:val="false"/>
          <w:sz w:val="28"/>
          <w:szCs w:val="28"/>
        </w:rPr>
        <w:t xml:space="preserve"> Контрольно-счетной комиссии утверждены бюджетные ассигнования в объеме </w:t>
      </w:r>
      <w:r>
        <w:rPr>
          <w:rFonts w:ascii="Times New Roman" w:hAnsi="Times New Roman"/>
          <w:b/>
          <w:i w:val="false"/>
          <w:iCs w:val="false"/>
          <w:sz w:val="28"/>
          <w:szCs w:val="28"/>
        </w:rPr>
        <w:t xml:space="preserve">1 609 119, 00 </w:t>
      </w:r>
      <w:r>
        <w:rPr>
          <w:rFonts w:ascii="Times New Roman" w:hAnsi="Times New Roman"/>
          <w:b w:val="false"/>
          <w:bCs w:val="false"/>
          <w:i w:val="false"/>
          <w:iCs w:val="false"/>
          <w:sz w:val="28"/>
          <w:szCs w:val="28"/>
        </w:rPr>
        <w:t>рублей.</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В ходе исполнения городского бюджета бюджетные ассигнования   были увеличены на</w:t>
      </w:r>
      <w:r>
        <w:rPr>
          <w:rFonts w:cs="Times New Roman" w:ascii="Times New Roman" w:hAnsi="Times New Roman"/>
          <w:b/>
          <w:i w:val="false"/>
          <w:iCs w:val="false"/>
          <w:sz w:val="28"/>
          <w:szCs w:val="28"/>
        </w:rPr>
        <w:t xml:space="preserve"> 334 591,00 </w:t>
      </w:r>
      <w:r>
        <w:rPr>
          <w:rFonts w:cs="Times New Roman" w:ascii="Times New Roman" w:hAnsi="Times New Roman"/>
          <w:b w:val="false"/>
          <w:bCs w:val="false"/>
          <w:i w:val="false"/>
          <w:iCs w:val="false"/>
          <w:sz w:val="28"/>
          <w:szCs w:val="28"/>
        </w:rPr>
        <w:t xml:space="preserve">рубль. </w:t>
      </w:r>
      <w:r>
        <w:rPr>
          <w:rFonts w:cs="Times New Roman" w:ascii="Times New Roman" w:hAnsi="Times New Roman"/>
          <w:i w:val="false"/>
          <w:iCs w:val="false"/>
          <w:sz w:val="28"/>
          <w:szCs w:val="28"/>
        </w:rPr>
        <w:t xml:space="preserve">Согласно уточненной бюджетной росписи план ассигнований на конец 2020 года составил </w:t>
      </w:r>
      <w:r>
        <w:rPr>
          <w:rFonts w:cs="Times New Roman" w:ascii="Times New Roman" w:hAnsi="Times New Roman"/>
          <w:b/>
          <w:i w:val="false"/>
          <w:iCs w:val="false"/>
          <w:sz w:val="28"/>
          <w:szCs w:val="28"/>
        </w:rPr>
        <w:t xml:space="preserve">1 943 710,00 </w:t>
      </w:r>
      <w:r>
        <w:rPr>
          <w:rFonts w:cs="Times New Roman" w:ascii="Times New Roman" w:hAnsi="Times New Roman"/>
          <w:b w:val="false"/>
          <w:bCs w:val="false"/>
          <w:i w:val="false"/>
          <w:iCs w:val="false"/>
          <w:sz w:val="28"/>
          <w:szCs w:val="28"/>
        </w:rPr>
        <w:t>рублей.</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По данным Отчета об исполнении бюджета главного распорядителя                   (ф. 0503127) исполнение расходов за 2020 год  составило</w:t>
      </w:r>
      <w:r>
        <w:rPr>
          <w:rFonts w:cs="Times New Roman" w:ascii="Times New Roman" w:hAnsi="Times New Roman"/>
          <w:b/>
          <w:i w:val="false"/>
          <w:iCs w:val="false"/>
          <w:sz w:val="28"/>
          <w:szCs w:val="28"/>
        </w:rPr>
        <w:t xml:space="preserve"> 1 943 710,00 </w:t>
      </w:r>
      <w:r>
        <w:rPr>
          <w:rFonts w:cs="Times New Roman" w:ascii="Times New Roman" w:hAnsi="Times New Roman"/>
          <w:b w:val="false"/>
          <w:bCs w:val="false"/>
          <w:i w:val="false"/>
          <w:iCs w:val="false"/>
          <w:sz w:val="28"/>
          <w:szCs w:val="28"/>
        </w:rPr>
        <w:t xml:space="preserve">рублей </w:t>
      </w:r>
      <w:r>
        <w:rPr>
          <w:rFonts w:cs="Times New Roman" w:ascii="Times New Roman" w:hAnsi="Times New Roman"/>
          <w:i w:val="false"/>
          <w:iCs w:val="false"/>
          <w:sz w:val="28"/>
          <w:szCs w:val="28"/>
        </w:rPr>
        <w:t xml:space="preserve"> или</w:t>
      </w:r>
      <w:r>
        <w:rPr>
          <w:rFonts w:cs="Times New Roman" w:ascii="Times New Roman" w:hAnsi="Times New Roman"/>
          <w:b/>
          <w:i w:val="false"/>
          <w:iCs w:val="false"/>
          <w:sz w:val="28"/>
          <w:szCs w:val="28"/>
        </w:rPr>
        <w:t xml:space="preserve"> 100%</w:t>
      </w:r>
      <w:r>
        <w:rPr>
          <w:rFonts w:cs="Times New Roman" w:ascii="Times New Roman" w:hAnsi="Times New Roman"/>
          <w:i w:val="false"/>
          <w:iCs w:val="false"/>
          <w:sz w:val="28"/>
          <w:szCs w:val="28"/>
        </w:rPr>
        <w:t xml:space="preserve"> от плановых назначений с учетом корректировок.</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Показатели бюджетной сметы Контрольно-счетной комиссии города Канска 2020 года сформированы в разрезе кодов расходов бюджетной классификации. Расходы на содержание Контрольно-счетной комиссии, предусмотренные бюджетной сметой, соответствуют расчетам к ней. Утвержденные показатели бюджетной сметы за 2020 год соответствуют доведенным до него лимитам бюджетных обязательств. </w:t>
      </w:r>
    </w:p>
    <w:p>
      <w:pPr>
        <w:pStyle w:val="Normal"/>
        <w:widowControl w:val="false"/>
        <w:spacing w:lineRule="auto" w:line="276" w:before="0" w:after="0"/>
        <w:ind w:firstLine="567"/>
        <w:contextualSpacing/>
        <w:jc w:val="both"/>
        <w:rPr/>
      </w:pPr>
      <w:r>
        <w:rPr>
          <w:rFonts w:cs="Times New Roman" w:ascii="Times New Roman" w:hAnsi="Times New Roman"/>
          <w:b w:val="false"/>
          <w:i w:val="false"/>
          <w:iCs w:val="false"/>
          <w:strike w:val="false"/>
          <w:dstrike w:val="false"/>
          <w:outline w:val="false"/>
          <w:shadow w:val="false"/>
          <w:color w:val="000000"/>
          <w:sz w:val="28"/>
          <w:szCs w:val="28"/>
          <w:u w:val="none"/>
          <w:em w:val="none"/>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pPr>
        <w:pStyle w:val="Normal"/>
        <w:widowControl w:val="false"/>
        <w:spacing w:lineRule="auto" w:line="276" w:before="0" w:after="0"/>
        <w:ind w:firstLine="567"/>
        <w:contextualSpacing/>
        <w:jc w:val="both"/>
        <w:rPr>
          <w:rFonts w:ascii="Times New Roman" w:hAnsi="Times New Roman" w:cs="Times New Roman"/>
          <w:b w:val="false"/>
          <w:b w:val="false"/>
          <w:i w:val="false"/>
          <w:i w:val="false"/>
          <w:iCs w:val="false"/>
          <w:strike w:val="false"/>
          <w:dstrike w:val="false"/>
          <w:outline w:val="false"/>
          <w:shadow w:val="false"/>
          <w:color w:val="000000"/>
          <w:sz w:val="28"/>
          <w:szCs w:val="28"/>
          <w:u w:val="none"/>
          <w:em w:val="none"/>
        </w:rPr>
      </w:pPr>
      <w:r>
        <w:rPr>
          <w:rFonts w:cs="Times New Roman" w:ascii="Times New Roman" w:hAnsi="Times New Roman"/>
          <w:b w:val="false"/>
          <w:i w:val="false"/>
          <w:iCs w:val="false"/>
          <w:strike w:val="false"/>
          <w:dstrike w:val="false"/>
          <w:outline w:val="false"/>
          <w:shadow w:val="false"/>
          <w:color w:val="000000"/>
          <w:sz w:val="28"/>
          <w:szCs w:val="28"/>
          <w:u w:val="none"/>
          <w:em w:val="none"/>
        </w:rPr>
      </w:r>
    </w:p>
    <w:p>
      <w:pPr>
        <w:pStyle w:val="Normal"/>
        <w:widowControl w:val="false"/>
        <w:tabs>
          <w:tab w:val="clear" w:pos="709"/>
          <w:tab w:val="left" w:pos="0" w:leader="none"/>
        </w:tabs>
        <w:spacing w:lineRule="auto" w:line="276" w:before="0" w:after="120"/>
        <w:ind w:left="0" w:right="0" w:firstLine="709"/>
        <w:contextualSpacing/>
        <w:jc w:val="center"/>
        <w:rPr/>
      </w:pPr>
      <w:r>
        <w:rPr>
          <w:rFonts w:ascii="Times New Roman" w:hAnsi="Times New Roman"/>
          <w:b/>
          <w:i w:val="false"/>
          <w:iCs w:val="false"/>
          <w:sz w:val="28"/>
          <w:szCs w:val="28"/>
        </w:rPr>
        <w:t xml:space="preserve">      </w:t>
      </w:r>
      <w:r>
        <w:rPr>
          <w:rFonts w:ascii="Times New Roman" w:hAnsi="Times New Roman"/>
          <w:b/>
          <w:i w:val="false"/>
          <w:iCs w:val="false"/>
          <w:sz w:val="28"/>
          <w:szCs w:val="28"/>
        </w:rPr>
        <w:t>Анализ дебиторской и кредиторской задолженности</w:t>
      </w:r>
    </w:p>
    <w:p>
      <w:pPr>
        <w:pStyle w:val="Normal"/>
        <w:widowControl w:val="false"/>
        <w:tabs>
          <w:tab w:val="clear" w:pos="709"/>
          <w:tab w:val="left" w:pos="0" w:leader="none"/>
        </w:tabs>
        <w:spacing w:lineRule="auto" w:line="276" w:before="0" w:after="120"/>
        <w:ind w:left="0" w:right="0" w:firstLine="709"/>
        <w:contextualSpacing/>
        <w:jc w:val="center"/>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widowControl w:val="false"/>
        <w:spacing w:lineRule="auto" w:line="276" w:before="0" w:after="0"/>
        <w:ind w:left="0" w:right="0" w:firstLine="709"/>
        <w:contextualSpacing/>
        <w:jc w:val="both"/>
        <w:rPr/>
      </w:pPr>
      <w:r>
        <w:rPr>
          <w:rFonts w:cs="Times New Roman" w:ascii="Times New Roman" w:hAnsi="Times New Roman"/>
          <w:b/>
          <w:bCs/>
          <w:i w:val="false"/>
          <w:iCs w:val="false"/>
          <w:sz w:val="28"/>
          <w:szCs w:val="28"/>
          <w:lang w:eastAsia="ru-RU"/>
        </w:rPr>
        <w:t>Дебиторская задолженность 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b w:val="false"/>
          <w:bCs w:val="false"/>
          <w:i w:val="false"/>
          <w:iCs w:val="false"/>
          <w:sz w:val="28"/>
          <w:szCs w:val="28"/>
          <w:lang w:eastAsia="ru-RU"/>
        </w:rPr>
        <w:t xml:space="preserve"> года составила в сумме            </w:t>
      </w:r>
      <w:r>
        <w:rPr>
          <w:rFonts w:cs="Times New Roman" w:ascii="Times New Roman" w:hAnsi="Times New Roman"/>
          <w:b/>
          <w:bCs/>
          <w:i w:val="false"/>
          <w:iCs w:val="false"/>
          <w:sz w:val="28"/>
          <w:szCs w:val="28"/>
          <w:lang w:eastAsia="ru-RU"/>
        </w:rPr>
        <w:t xml:space="preserve">0,00 </w:t>
      </w:r>
      <w:r>
        <w:rPr>
          <w:rFonts w:cs="Times New Roman" w:ascii="Times New Roman" w:hAnsi="Times New Roman"/>
          <w:b w:val="false"/>
          <w:bCs w:val="false"/>
          <w:i w:val="false"/>
          <w:iCs w:val="false"/>
          <w:sz w:val="28"/>
          <w:szCs w:val="28"/>
          <w:lang w:eastAsia="ru-RU"/>
        </w:rPr>
        <w:t>рублей (на 01.01.2020 — 0,00 рублей).</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lang w:eastAsia="ru-RU"/>
        </w:rPr>
      </w:pPr>
      <w:r>
        <w:rPr>
          <w:rFonts w:ascii="Times New Roman" w:hAnsi="Times New Roman"/>
          <w:i w:val="false"/>
          <w:iCs w:val="false"/>
          <w:sz w:val="28"/>
          <w:szCs w:val="28"/>
          <w:lang w:eastAsia="ru-RU"/>
        </w:rPr>
      </w:r>
    </w:p>
    <w:p>
      <w:pPr>
        <w:pStyle w:val="Normal"/>
        <w:spacing w:lineRule="auto" w:line="276" w:before="0" w:after="0"/>
        <w:ind w:left="0" w:right="0" w:firstLine="709"/>
        <w:jc w:val="both"/>
        <w:rPr/>
      </w:pPr>
      <w:r>
        <w:rPr>
          <w:rFonts w:cs="Times New Roman" w:ascii="Times New Roman" w:hAnsi="Times New Roman"/>
          <w:b/>
          <w:bCs/>
          <w:i w:val="false"/>
          <w:iCs w:val="false"/>
          <w:sz w:val="28"/>
          <w:szCs w:val="28"/>
        </w:rPr>
        <w:t>Кредиторская задолженность</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lang w:eastAsia="ru-RU"/>
        </w:rPr>
        <w:t>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i w:val="false"/>
          <w:iCs w:val="false"/>
          <w:sz w:val="28"/>
          <w:szCs w:val="28"/>
        </w:rPr>
        <w:t xml:space="preserve"> </w:t>
      </w:r>
      <w:r>
        <w:rPr>
          <w:rFonts w:ascii="Times New Roman" w:hAnsi="Times New Roman"/>
          <w:i w:val="false"/>
          <w:iCs w:val="false"/>
          <w:sz w:val="28"/>
          <w:szCs w:val="28"/>
        </w:rPr>
        <w:t>составила</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rPr>
        <w:t xml:space="preserve"> 673,94</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рубля</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lang w:eastAsia="ru-RU"/>
        </w:rPr>
        <w:t xml:space="preserve">(на 01.01.2020 — 661,56 рубль) </w:t>
      </w:r>
      <w:r>
        <w:rPr>
          <w:rFonts w:cs="Times New Roman" w:ascii="Times New Roman" w:hAnsi="Times New Roman"/>
          <w:i w:val="false"/>
          <w:iCs w:val="false"/>
          <w:sz w:val="28"/>
          <w:szCs w:val="28"/>
        </w:rPr>
        <w:t>в том числе:</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- 673,94 рубля услуги связи, согласно муниципальному контракту оплата производится в следующем месяце за отчетным.</w:t>
      </w:r>
    </w:p>
    <w:p>
      <w:pPr>
        <w:pStyle w:val="Normal"/>
        <w:spacing w:lineRule="auto" w:line="276" w:before="0" w:after="0"/>
        <w:ind w:left="0" w:right="0" w:firstLine="709"/>
        <w:jc w:val="both"/>
        <w:rPr/>
      </w:pPr>
      <w:r>
        <w:rPr>
          <w:rFonts w:eastAsia="Calibri" w:cs="Times New Roman" w:ascii="Times New Roman" w:hAnsi="Times New Roman" w:eastAsiaTheme="minorHAnsi"/>
          <w:i w:val="false"/>
          <w:iCs w:val="false"/>
          <w:color w:val="auto"/>
          <w:kern w:val="0"/>
          <w:sz w:val="28"/>
          <w:szCs w:val="28"/>
          <w:lang w:val="ru-RU" w:eastAsia="en-US" w:bidi="ar-SA"/>
        </w:rPr>
        <w:t>За счет ассигнований 2020 года погашена кредиторская задолженность за 2019 год в сумме 661,56 рубль</w:t>
      </w:r>
      <w:r>
        <w:rPr>
          <w:rFonts w:cs="Times New Roman" w:ascii="Times New Roman" w:hAnsi="Times New Roman"/>
          <w:i w:val="false"/>
          <w:iCs w:val="false"/>
          <w:sz w:val="28"/>
          <w:szCs w:val="28"/>
        </w:rPr>
        <w:t xml:space="preserve">. </w:t>
      </w:r>
    </w:p>
    <w:p>
      <w:pPr>
        <w:pStyle w:val="Normal"/>
        <w:widowControl w:val="false"/>
        <w:tabs>
          <w:tab w:val="clear" w:pos="709"/>
          <w:tab w:val="left" w:pos="0" w:leader="none"/>
        </w:tabs>
        <w:spacing w:lineRule="auto" w:line="276" w:before="0" w:after="0"/>
        <w:ind w:left="0" w:right="0" w:firstLine="709"/>
        <w:jc w:val="both"/>
        <w:rPr/>
      </w:pPr>
      <w:r>
        <w:rPr>
          <w:rFonts w:cs="Times New Roman" w:ascii="Times New Roman" w:hAnsi="Times New Roman"/>
          <w:b w:val="false"/>
          <w:bCs w:val="false"/>
          <w:i w:val="false"/>
          <w:iCs w:val="false"/>
          <w:color w:val="000000"/>
          <w:sz w:val="28"/>
          <w:szCs w:val="28"/>
          <w:lang w:eastAsia="ru-RU"/>
        </w:rPr>
        <w:t>Просроченной и долгосрочной кредиторской задолженности на 01.01.2021 года по данным формы 0503169 нет.</w:t>
      </w:r>
    </w:p>
    <w:p>
      <w:pPr>
        <w:pStyle w:val="Normal"/>
        <w:widowControl w:val="false"/>
        <w:tabs>
          <w:tab w:val="clear" w:pos="709"/>
          <w:tab w:val="left" w:pos="0" w:leader="none"/>
        </w:tabs>
        <w:spacing w:lineRule="auto" w:line="276" w:before="0" w:after="0"/>
        <w:ind w:left="0" w:right="0" w:firstLine="709"/>
        <w:jc w:val="both"/>
        <w:rPr>
          <w:rFonts w:ascii="Times New Roman" w:hAnsi="Times New Roman" w:cs="Times New Roman"/>
          <w:b w:val="false"/>
          <w:b w:val="false"/>
          <w:bCs w:val="false"/>
          <w:i w:val="false"/>
          <w:i w:val="false"/>
          <w:iCs w:val="false"/>
          <w:color w:val="000000"/>
          <w:sz w:val="28"/>
          <w:szCs w:val="28"/>
          <w:lang w:eastAsia="ru-RU"/>
        </w:rPr>
      </w:pPr>
      <w:r>
        <w:rPr>
          <w:rFonts w:cs="Times New Roman" w:ascii="Times New Roman" w:hAnsi="Times New Roman"/>
          <w:b w:val="false"/>
          <w:bCs w:val="false"/>
          <w:i w:val="false"/>
          <w:iCs w:val="false"/>
          <w:color w:val="000000"/>
          <w:sz w:val="28"/>
          <w:szCs w:val="28"/>
          <w:lang w:eastAsia="ru-RU"/>
        </w:rPr>
      </w:r>
    </w:p>
    <w:p>
      <w:pPr>
        <w:pStyle w:val="Normal"/>
        <w:spacing w:lineRule="auto" w:line="276" w:before="0" w:after="0"/>
        <w:ind w:left="0" w:right="0" w:firstLine="709"/>
        <w:contextualSpacing/>
        <w:jc w:val="both"/>
        <w:rPr/>
      </w:pPr>
      <w:r>
        <w:rPr>
          <w:rFonts w:eastAsia="Times New Roman" w:cs="Times New Roman" w:ascii="Times New Roman" w:hAnsi="Times New Roman"/>
          <w:b/>
          <w:i w:val="false"/>
          <w:iCs w:val="false"/>
          <w:sz w:val="28"/>
          <w:szCs w:val="28"/>
          <w:lang w:eastAsia="ru-RU"/>
        </w:rPr>
        <w:t>Выводы</w:t>
      </w:r>
    </w:p>
    <w:p>
      <w:pPr>
        <w:pStyle w:val="Normal"/>
        <w:spacing w:lineRule="auto" w:line="276" w:before="0" w:after="0"/>
        <w:ind w:left="0" w:right="0" w:firstLine="709"/>
        <w:contextualSpacing/>
        <w:jc w:val="both"/>
        <w:rPr/>
      </w:pPr>
      <w:r>
        <w:rPr>
          <w:rFonts w:ascii="Times New Roman" w:hAnsi="Times New Roman"/>
          <w:i w:val="false"/>
          <w:iCs w:val="false"/>
          <w:sz w:val="28"/>
          <w:szCs w:val="28"/>
        </w:rPr>
        <w:t>1. В ходе проверки фактов неполного заполнения форм бюджетной отчетности не выявлено.</w:t>
      </w:r>
    </w:p>
    <w:p>
      <w:pPr>
        <w:pStyle w:val="Normal"/>
        <w:spacing w:lineRule="auto" w:line="276" w:before="0" w:after="0"/>
        <w:ind w:left="0" w:right="0" w:firstLine="709"/>
        <w:contextualSpacing/>
        <w:jc w:val="both"/>
        <w:rPr/>
      </w:pPr>
      <w:r>
        <w:rPr>
          <w:rFonts w:ascii="Times New Roman" w:hAnsi="Times New Roman"/>
          <w:i w:val="false"/>
          <w:iCs w:val="false"/>
          <w:sz w:val="28"/>
          <w:szCs w:val="28"/>
        </w:rPr>
        <w:t xml:space="preserve">2. Фактов, способных негативно повлиять на достоверность отчетности, не установлено. </w:t>
      </w:r>
    </w:p>
    <w:p>
      <w:pPr>
        <w:pStyle w:val="Normal"/>
        <w:spacing w:lineRule="auto" w:line="276" w:before="0" w:after="0"/>
        <w:ind w:left="0" w:right="0" w:firstLine="709"/>
        <w:jc w:val="both"/>
        <w:rPr>
          <w:rFonts w:ascii="Times New Roman" w:hAnsi="Times New Roman" w:eastAsia="Times New Roman" w:cs="Times New Roman"/>
          <w:b/>
          <w:b/>
          <w:i w:val="false"/>
          <w:i w:val="false"/>
          <w:iCs w:val="false"/>
          <w:sz w:val="28"/>
          <w:szCs w:val="28"/>
          <w:lang w:eastAsia="ru-RU"/>
        </w:rPr>
      </w:pPr>
      <w:r>
        <w:rPr>
          <w:rFonts w:eastAsia="Times New Roman" w:cs="Times New Roman" w:ascii="Times New Roman" w:hAnsi="Times New Roman"/>
          <w:b/>
          <w:i w:val="false"/>
          <w:iCs w:val="false"/>
          <w:sz w:val="28"/>
          <w:szCs w:val="28"/>
          <w:lang w:eastAsia="ru-RU"/>
        </w:rPr>
      </w:r>
    </w:p>
    <w:p>
      <w:pPr>
        <w:pStyle w:val="Normal"/>
        <w:spacing w:lineRule="auto" w:line="276" w:before="0" w:after="0"/>
        <w:ind w:left="0" w:right="0"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i w:val="false"/>
          <w:iCs w:val="false"/>
          <w:sz w:val="28"/>
          <w:szCs w:val="28"/>
          <w:lang w:eastAsia="ru-RU"/>
        </w:rPr>
        <w:t>Предложения</w:t>
      </w:r>
    </w:p>
    <w:p>
      <w:pPr>
        <w:pStyle w:val="ListParagraph"/>
        <w:numPr>
          <w:ilvl w:val="0"/>
          <w:numId w:val="1"/>
        </w:numPr>
        <w:tabs>
          <w:tab w:val="clear" w:pos="709"/>
          <w:tab w:val="left" w:pos="851" w:leader="none"/>
        </w:tabs>
        <w:spacing w:lineRule="auto" w:line="276" w:before="0" w:after="0"/>
        <w:ind w:left="0" w:righ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i w:val="false"/>
          <w:iCs w:val="false"/>
          <w:sz w:val="28"/>
          <w:szCs w:val="28"/>
          <w:lang w:eastAsia="ru-RU"/>
        </w:rPr>
        <w:t>Направить заключение о результатах внешней проверки бюджетной отчетности Контрольно-счетной комиссии города Канска.</w:t>
      </w:r>
    </w:p>
    <w:p>
      <w:pPr>
        <w:pStyle w:val="Normal"/>
        <w:spacing w:lineRule="auto" w:line="240" w:before="0" w:after="0"/>
        <w:ind w:left="0" w:right="0" w:firstLine="709"/>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40" w:before="0" w:after="0"/>
        <w:jc w:val="both"/>
        <w:rPr/>
      </w:pPr>
      <w:r>
        <w:rPr/>
      </w:r>
      <w:bookmarkStart w:id="0" w:name="OLE_LINK4"/>
      <w:bookmarkStart w:id="1" w:name="OLE_LINK3"/>
      <w:bookmarkStart w:id="2" w:name="OLE_LINK4"/>
      <w:bookmarkStart w:id="3" w:name="OLE_LINK3"/>
      <w:bookmarkEnd w:id="2"/>
      <w:bookmarkEnd w:id="3"/>
    </w:p>
    <w:p>
      <w:pPr>
        <w:pStyle w:val="Normal"/>
        <w:spacing w:lineRule="auto" w:line="240" w:before="0" w:after="0"/>
        <w:rPr>
          <w:sz w:val="26"/>
          <w:szCs w:val="26"/>
        </w:rPr>
      </w:pPr>
      <w:r>
        <w:rPr>
          <w:sz w:val="26"/>
          <w:szCs w:val="26"/>
        </w:rPr>
      </w:r>
    </w:p>
    <w:p>
      <w:pPr>
        <w:pStyle w:val="Normal"/>
        <w:spacing w:lineRule="auto" w:line="240" w:before="0" w:after="0"/>
        <w:rPr/>
      </w:pPr>
      <w:r>
        <w:rPr>
          <w:rFonts w:cs="Times New Roman" w:ascii="Times New Roman" w:hAnsi="Times New Roman"/>
          <w:sz w:val="28"/>
          <w:szCs w:val="28"/>
        </w:rPr>
        <w:t xml:space="preserve">Инспектор Контрольно-счетной </w:t>
      </w:r>
    </w:p>
    <w:p>
      <w:pPr>
        <w:pStyle w:val="Normal"/>
        <w:spacing w:lineRule="auto" w:line="240" w:before="0" w:after="0"/>
        <w:rPr/>
      </w:pPr>
      <w:r>
        <w:rPr>
          <w:rFonts w:cs="Times New Roman" w:ascii="Times New Roman" w:hAnsi="Times New Roman"/>
          <w:sz w:val="28"/>
          <w:szCs w:val="28"/>
        </w:rPr>
        <w:t xml:space="preserve">комиссии города Канска                                                                  </w:t>
      </w:r>
      <w:r>
        <w:rPr>
          <w:rFonts w:cs="Times New Roman" w:ascii="Times New Roman" w:hAnsi="Times New Roman"/>
          <w:sz w:val="28"/>
          <w:szCs w:val="28"/>
          <w:lang w:val="ru-RU"/>
        </w:rPr>
        <w:t>Е</w:t>
      </w:r>
      <w:r>
        <w:rPr>
          <w:rFonts w:cs="Times New Roman" w:ascii="Times New Roman" w:hAnsi="Times New Roman"/>
          <w:sz w:val="28"/>
          <w:szCs w:val="28"/>
        </w:rPr>
        <w:t>.В. Данилова</w:t>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9509493"/>
    </w:sdtPr>
    <w:sdtContent>
      <w:p>
        <w:pPr>
          <w:pStyle w:val="Style32"/>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sdtContent>
  </w:sdt>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rPr/>
      </w:pPr>
      <w:r>
        <w:rPr>
          <w:rStyle w:val="Style21"/>
        </w:rPr>
        <w:footnoteRef/>
      </w:r>
      <w:r>
        <w:rPr>
          <w:rFonts w:cs="Times New Roman" w:ascii="Times New Roman" w:hAnsi="Times New Roman"/>
        </w:rPr>
        <w:t>Приказ финансового управления администрации города Канска от 29.12.2020 № 107 о/д</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60" w:hanging="9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770f"/>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000d0f"/>
    <w:rPr/>
  </w:style>
  <w:style w:type="character" w:styleId="Style15" w:customStyle="1">
    <w:name w:val="Нижний колонтитул Знак"/>
    <w:basedOn w:val="DefaultParagraphFont"/>
    <w:uiPriority w:val="99"/>
    <w:qFormat/>
    <w:rsid w:val="00000d0f"/>
    <w:rPr/>
  </w:style>
  <w:style w:type="character" w:styleId="Style16" w:customStyle="1">
    <w:name w:val="Абзац списка Знак"/>
    <w:uiPriority w:val="34"/>
    <w:qFormat/>
    <w:locked/>
    <w:rsid w:val="008a7069"/>
    <w:rPr/>
  </w:style>
  <w:style w:type="character" w:styleId="Style17" w:customStyle="1">
    <w:name w:val="Текст сноски Знак"/>
    <w:basedOn w:val="DefaultParagraphFont"/>
    <w:uiPriority w:val="99"/>
    <w:semiHidden/>
    <w:qFormat/>
    <w:rsid w:val="003b5349"/>
    <w:rPr>
      <w:sz w:val="20"/>
      <w:szCs w:val="20"/>
    </w:rPr>
  </w:style>
  <w:style w:type="character" w:styleId="Style18"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3b5349"/>
    <w:rPr>
      <w:vertAlign w:val="superscript"/>
    </w:rPr>
  </w:style>
  <w:style w:type="character" w:styleId="Style19" w:customStyle="1">
    <w:name w:val="Текст выноски Знак"/>
    <w:basedOn w:val="DefaultParagraphFont"/>
    <w:uiPriority w:val="99"/>
    <w:semiHidden/>
    <w:qFormat/>
    <w:rsid w:val="008b01d8"/>
    <w:rPr>
      <w:rFonts w:ascii="Segoe UI" w:hAnsi="Segoe UI" w:cs="Segoe UI"/>
      <w:sz w:val="18"/>
      <w:szCs w:val="18"/>
    </w:rPr>
  </w:style>
  <w:style w:type="character" w:styleId="Style20" w:customStyle="1">
    <w:name w:val="Интернет-ссылка"/>
    <w:basedOn w:val="DefaultParagraphFont"/>
    <w:uiPriority w:val="99"/>
    <w:unhideWhenUsed/>
    <w:rsid w:val="006d2108"/>
    <w:rPr>
      <w:color w:val="0000FF"/>
      <w:u w:val="single"/>
    </w:rPr>
  </w:style>
  <w:style w:type="character" w:styleId="Style21" w:customStyle="1">
    <w:name w:val="Символ сноски"/>
    <w:qFormat/>
    <w:rPr/>
  </w:style>
  <w:style w:type="character" w:styleId="Style22" w:customStyle="1">
    <w:name w:val="Привязка концевой сноски"/>
    <w:rPr>
      <w:vertAlign w:val="superscript"/>
    </w:rPr>
  </w:style>
  <w:style w:type="character" w:styleId="Style23" w:customStyle="1">
    <w:name w:val="Символ концевой сноски"/>
    <w:qFormat/>
    <w:rPr/>
  </w:style>
  <w:style w:type="character" w:styleId="Style24">
    <w:name w:val="Маркеры списка"/>
    <w:qFormat/>
    <w:rPr>
      <w:rFonts w:ascii="OpenSymbol" w:hAnsi="OpenSymbol" w:eastAsia="OpenSymbol" w:cs="OpenSymbol"/>
      <w:sz w:val="20"/>
      <w:szCs w:val="20"/>
    </w:rPr>
  </w:style>
  <w:style w:type="paragraph" w:styleId="Style25" w:customStyle="1">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60388e"/>
    <w:pPr>
      <w:spacing w:before="0" w:after="200"/>
      <w:ind w:left="720" w:hanging="0"/>
      <w:contextualSpacing/>
    </w:pPr>
    <w:rPr/>
  </w:style>
  <w:style w:type="paragraph" w:styleId="ConsPlusNormal" w:customStyle="1">
    <w:name w:val="ConsPlusNormal"/>
    <w:qFormat/>
    <w:rsid w:val="00a17996"/>
    <w:pPr>
      <w:widowControl/>
      <w:overflowPunct w:val="false"/>
      <w:bidi w:val="0"/>
      <w:spacing w:before="0" w:after="0"/>
      <w:jc w:val="left"/>
    </w:pPr>
    <w:rPr>
      <w:rFonts w:ascii="Arial" w:hAnsi="Arial" w:eastAsia="Calibri" w:cs="Arial" w:eastAsiaTheme="minorHAnsi"/>
      <w:color w:val="auto"/>
      <w:kern w:val="0"/>
      <w:sz w:val="20"/>
      <w:szCs w:val="20"/>
      <w:lang w:val="ru-RU" w:eastAsia="en-US" w:bidi="ar-SA"/>
    </w:rPr>
  </w:style>
  <w:style w:type="paragraph" w:styleId="Style30">
    <w:name w:val="Верхний и нижний колонтитулы"/>
    <w:basedOn w:val="Normal"/>
    <w:qFormat/>
    <w:pPr/>
    <w:rPr/>
  </w:style>
  <w:style w:type="paragraph" w:styleId="Style31">
    <w:name w:val="Header"/>
    <w:basedOn w:val="Normal"/>
    <w:uiPriority w:val="99"/>
    <w:unhideWhenUsed/>
    <w:rsid w:val="00000d0f"/>
    <w:pPr>
      <w:tabs>
        <w:tab w:val="clear" w:pos="709"/>
        <w:tab w:val="center" w:pos="4677" w:leader="none"/>
        <w:tab w:val="right" w:pos="9355" w:leader="none"/>
      </w:tabs>
      <w:spacing w:lineRule="auto" w:line="240" w:before="0" w:after="0"/>
    </w:pPr>
    <w:rPr/>
  </w:style>
  <w:style w:type="paragraph" w:styleId="Style32">
    <w:name w:val="Footer"/>
    <w:basedOn w:val="Normal"/>
    <w:uiPriority w:val="99"/>
    <w:unhideWhenUsed/>
    <w:rsid w:val="00000d0f"/>
    <w:pPr>
      <w:tabs>
        <w:tab w:val="clear" w:pos="709"/>
        <w:tab w:val="center" w:pos="4677" w:leader="none"/>
        <w:tab w:val="right" w:pos="9355" w:leader="none"/>
      </w:tabs>
      <w:spacing w:lineRule="auto" w:line="240" w:before="0" w:after="0"/>
    </w:pPr>
    <w:rPr/>
  </w:style>
  <w:style w:type="paragraph" w:styleId="Style33">
    <w:name w:val="Footnote Text"/>
    <w:basedOn w:val="Normal"/>
    <w:uiPriority w:val="99"/>
    <w:semiHidden/>
    <w:unhideWhenUsed/>
    <w:rsid w:val="003b5349"/>
    <w:pPr>
      <w:spacing w:lineRule="auto" w:line="240" w:before="0" w:after="0"/>
    </w:pPr>
    <w:rPr>
      <w:sz w:val="20"/>
      <w:szCs w:val="20"/>
    </w:rPr>
  </w:style>
  <w:style w:type="paragraph" w:styleId="BalloonText">
    <w:name w:val="Balloon Text"/>
    <w:basedOn w:val="Normal"/>
    <w:uiPriority w:val="99"/>
    <w:semiHidden/>
    <w:unhideWhenUsed/>
    <w:qFormat/>
    <w:rsid w:val="008b01d8"/>
    <w:pPr>
      <w:spacing w:lineRule="auto" w:line="240" w:before="0" w:after="0"/>
    </w:pPr>
    <w:rPr>
      <w:rFonts w:ascii="Segoe UI" w:hAnsi="Segoe UI" w:cs="Segoe UI"/>
      <w:sz w:val="18"/>
      <w:szCs w:val="18"/>
    </w:rPr>
  </w:style>
  <w:style w:type="paragraph" w:styleId="ConsPlusNonformat">
    <w:name w:val="ConsPlusNonformat"/>
    <w:qFormat/>
    <w:pPr>
      <w:widowControl/>
      <w:overflowPunct w:val="false"/>
      <w:bidi w:val="0"/>
      <w:spacing w:before="0" w:after="0"/>
      <w:jc w:val="left"/>
    </w:pPr>
    <w:rPr>
      <w:rFonts w:ascii="Courier New" w:hAnsi="Courier New" w:eastAsia="Times New Roman" w:cs="Courier New"/>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b4d9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633C-D3EA-4869-90A4-1C1AEE68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Application>LibreOffice/6.3.6.2$Windows_x86 LibreOffice_project/2196df99b074d8a661f4036fca8fa0cbfa33a497</Application>
  <Pages>4</Pages>
  <Words>806</Words>
  <Characters>5702</Characters>
  <CharactersWithSpaces>6707</CharactersWithSpaces>
  <Paragraphs>48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2018-02-14T04:47:00Z</dcterms:created>
  <dc:creator>sk</dc:creator>
  <dc:description/>
  <dc:language>ru-RU</dc:language>
  <cp:lastModifiedBy/>
  <cp:lastPrinted>2021-03-19T09:34:57Z</cp:lastPrinted>
  <dcterms:modified xsi:type="dcterms:W3CDTF">2021-03-30T11:29:48Z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