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"____"_______________2020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города Канска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201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- ГРБС) 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Управление по делам гражданской обороны и чрезвычайным ситуациям администрации города Канска </w:t>
      </w:r>
      <w:r>
        <w:rPr>
          <w:rFonts w:ascii="Times New Roman" w:hAnsi="Times New Roman"/>
          <w:sz w:val="28"/>
          <w:szCs w:val="28"/>
        </w:rPr>
        <w:t>(далее - Управление по делам ГО            и ЧС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201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установлено следующее.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Бюджетная отчетность </w:t>
      </w:r>
      <w:r>
        <w:rPr>
          <w:rFonts w:ascii="Times New Roman" w:hAnsi="Times New Roman"/>
          <w:sz w:val="28"/>
          <w:szCs w:val="28"/>
        </w:rPr>
        <w:t>Управления по делам ГО и ЧС г. Канска за 2019 год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представлена в финансовое управление администрации города Канска 20.01.2020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sz w:val="28"/>
          <w:szCs w:val="28"/>
        </w:rPr>
        <w:t xml:space="preserve">Управления по делам ГО и ЧС г. Канска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 2019 год представлена в Контрольно-счетную комиссию города Канска в срок, указанный  в сопроводительном письме о предоставлении документов от 17.02.2020 №15/01-18 (сопроводительное письмо </w:t>
      </w:r>
      <w:r>
        <w:rPr>
          <w:rFonts w:eastAsia="Times New Roman" w:cs="" w:ascii="Times New Roman" w:hAnsi="Times New Roman" w:cstheme="minorBidi"/>
          <w:sz w:val="28"/>
          <w:szCs w:val="28"/>
          <w:lang w:eastAsia="ru-RU"/>
        </w:rPr>
        <w:t>Управления по делам ГО и ЧС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28.02.2020  № 122).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Ведение бюджетного учета в 2019 году осуществлялось работниками бухгалтерии, состоящие в штате </w:t>
      </w:r>
      <w:r>
        <w:rPr>
          <w:rFonts w:ascii="Times New Roman" w:hAnsi="Times New Roman"/>
          <w:sz w:val="28"/>
          <w:szCs w:val="28"/>
        </w:rPr>
        <w:t>Управление по делам ГО и ЧС г. Канска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и формы бюдж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етной отчетности в полной мере соответствуют составу и формам отчетов, предусмотренным Инструкцией о порядке составления и представления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годовой, квартальной и месячной отчетности об исполнении бюджетов бюджетной системы Российской Федерации, приказом Министерства финансов Российской Федерации от 28.12.2010 № 191н (далее – Инструкция № 191н).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основании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п. 152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Инструкции № 191н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текстовая часть формы 0503160 «Пояснительная записка» содержит всю информацию, предусмотренную указанным пунктом.  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</w:tabs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Доходная часть исполнена на 100 % , план 1 118 016,59 рублей и факт  1  118 016,59 рублей.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Решением Канского городского Совета депутатов от 19.12.2018                               № 35-212 «О бюджете города Канска на 2019 год и плановый период 2020  - 2021 годов» Управлением по делам ГО и ЧС г. Канска утверждены бюджетные ассигнования в объеме 26 336 156,00 рублей. Вследствие корректировок бюджетных назначений план ассигнований увеличился на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     2 750 312,25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 рублей и составил 29 086 468,25 рублей. 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2019 год  составило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29 014 049,28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рублей </w:t>
      </w:r>
      <w:r>
        <w:rPr>
          <w:rFonts w:cs="Times New Roman" w:ascii="Times New Roman" w:hAnsi="Times New Roman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b/>
          <w:sz w:val="28"/>
          <w:szCs w:val="28"/>
        </w:rPr>
        <w:t>99,8 %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tabs>
          <w:tab w:val="clear" w:pos="709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72 418,97</w:t>
      </w:r>
      <w:r>
        <w:rPr>
          <w:rFonts w:cs="Times New Roman" w:ascii="Times New Roman" w:hAnsi="Times New Roman"/>
          <w:b/>
          <w:sz w:val="28"/>
          <w:szCs w:val="28"/>
        </w:rPr>
        <w:t xml:space="preserve"> рублей.</w:t>
      </w:r>
    </w:p>
    <w:p>
      <w:pPr>
        <w:pStyle w:val="Normal"/>
        <w:tabs>
          <w:tab w:val="clear" w:pos="709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sz w:val="28"/>
          <w:szCs w:val="28"/>
        </w:rPr>
        <w:t xml:space="preserve">Управления по делам ГО и ЧС г. Канска </w:t>
      </w:r>
      <w:r>
        <w:rPr>
          <w:rFonts w:cs="Times New Roman" w:ascii="Times New Roman" w:hAnsi="Times New Roman"/>
          <w:sz w:val="28"/>
          <w:szCs w:val="28"/>
        </w:rPr>
        <w:t xml:space="preserve">2019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sz w:val="28"/>
          <w:szCs w:val="28"/>
        </w:rPr>
        <w:t>Управления по делам ГО и ЧС          г. Канска</w:t>
      </w:r>
      <w:r>
        <w:rPr>
          <w:rFonts w:cs="Times New Roman" w:ascii="Times New Roman" w:hAnsi="Times New Roman"/>
          <w:sz w:val="28"/>
          <w:szCs w:val="28"/>
        </w:rPr>
        <w:t xml:space="preserve">, предусмотренные бюджетной сметой, соответствуют расчетам                  к ней. Утвержденные показатели бюджетной сметы за 2019 год соответствуют доведенным до него лимитам бюджетных обязательств. </w:t>
      </w:r>
    </w:p>
    <w:p>
      <w:pPr>
        <w:pStyle w:val="Normal"/>
        <w:tabs>
          <w:tab w:val="clear" w:pos="709"/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    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На конец отчетного периода у Управления по делам ГО и ЧС г. Канска дебиторская задолженность на 01.01.20</w:t>
      </w:r>
      <w:r>
        <w:rPr>
          <w:rFonts w:ascii="Times New Roman" w:hAnsi="Times New Roman"/>
          <w:b w:val="false"/>
          <w:bCs w:val="false"/>
          <w:sz w:val="28"/>
          <w:szCs w:val="28"/>
          <w:lang w:val="en-US" w:eastAsia="ru-RU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года составила в сумме 3 617,95 рублей (на 01.01.2019 — 1 055,26 рублей)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- 1 145,50 рублей задолженность по авансовым платежам за услуги почты;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- 2 472,45 рублей предоплата за эл. энергию.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сравнении с данными на 01.01.2019 года видно, что увеличилась дебиторская задолженность на 2 562,69 рублей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Просроченной дебиторской задолженности нет.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у Управления по делам ГО и ЧС г. Канска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на 01.01.2020 г. в сумме </w:t>
      </w:r>
      <w:r>
        <w:rPr>
          <w:rFonts w:cs="Times New Roman" w:ascii="Times New Roman" w:hAnsi="Times New Roman"/>
          <w:b/>
          <w:bCs/>
          <w:sz w:val="28"/>
          <w:szCs w:val="28"/>
        </w:rPr>
        <w:t>18 077,32</w:t>
      </w:r>
      <w:r>
        <w:rPr>
          <w:rFonts w:cs="Times New Roman" w:ascii="Times New Roman" w:hAnsi="Times New Roman"/>
          <w:b/>
          <w:sz w:val="28"/>
          <w:szCs w:val="28"/>
        </w:rPr>
        <w:t xml:space="preserve"> рублей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(на 01.01.2019 - 22 885,89 рублей) </w:t>
      </w:r>
      <w:r>
        <w:rPr>
          <w:rFonts w:cs="Times New Roman" w:ascii="Times New Roman" w:hAnsi="Times New Roman"/>
          <w:sz w:val="28"/>
          <w:szCs w:val="28"/>
        </w:rPr>
        <w:t>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- 12 944,88 рубля коммунальные платежи за декабрь 2019 г.;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- 4 788,44 рублей услуги связи за декабрь;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- 294,00 рубля предрейсовые и послерейсовые осмотры за декабрь.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По сравнению с 2018 годом кредиторская задолженность увеличилась на 4 808,57 рублей. Просроченной кредиторской задолженности нет.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В ходе проверки не выявлены факты неполного заполнения форм бюджетной отчетности.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Фактов, способных негативно повлиять на достоверность отчетности, не установлено.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Управлению по делам ГО и ЧС г. Канска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контроль                                 за дебиторской и кредиторской задолженностью.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Направить заключение о результатах внешней проверки бюджетной отчетности в </w:t>
      </w:r>
      <w:r>
        <w:rPr>
          <w:rFonts w:ascii="Times New Roman" w:hAnsi="Times New Roman"/>
          <w:sz w:val="28"/>
          <w:szCs w:val="28"/>
        </w:rPr>
        <w:t>Управление по делам ГО и ЧС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Инспектор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54120252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 администрации города Канска от 31.12.2019№ 132о/д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18"/>
      <w:szCs w:val="18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DD44-4B53-436F-9CBB-19D22D17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LibreOffice/6.3.3.2$Windows_x86 LibreOffice_project/a64200df03143b798afd1ec74a12ab50359878ed</Application>
  <Pages>3</Pages>
  <Words>700</Words>
  <Characters>4394</Characters>
  <CharactersWithSpaces>5388</CharactersWithSpaces>
  <Paragraphs>47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2018-02-27T02:09:00Z</dcterms:created>
  <dc:creator>sk</dc:creator>
  <dc:description/>
  <dc:language>ru-RU</dc:language>
  <cp:lastModifiedBy/>
  <cp:lastPrinted>2019-04-01T03:04:00Z</cp:lastPrinted>
  <dcterms:modified xsi:type="dcterms:W3CDTF">2020-03-26T15:13:06Z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