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Е.В.  Парфенова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"____"______________2020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Администрации города Канска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2019год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cs="Times New Roman"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пункт 1.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плана работы Контрольно-счетной комиссии города Канска на 2020 год.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Объект проверки:</w:t>
      </w:r>
      <w:r>
        <w:rPr>
          <w:rFonts w:cs="Times New Roman" w:ascii="Times New Roman" w:hAnsi="Times New Roman"/>
          <w:sz w:val="28"/>
          <w:szCs w:val="28"/>
        </w:rPr>
        <w:t xml:space="preserve"> главный распорядитель бюджетных средств (далее – ГРБС) – Администрация города Канска (далее- Администрация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г. Канска).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проверки: </w:t>
      </w:r>
      <w:r>
        <w:rPr>
          <w:rFonts w:ascii="Times New Roman" w:hAnsi="Times New Roman"/>
          <w:sz w:val="28"/>
          <w:szCs w:val="28"/>
        </w:rPr>
        <w:t>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2019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  <w:highlight w:val="lightGray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результате проверки бюджетной отчетности за 2019 год установлено следующее: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cs="Times New Roman" w:ascii="Times New Roman" w:hAnsi="Times New Roman"/>
          <w:sz w:val="28"/>
          <w:szCs w:val="28"/>
        </w:rPr>
        <w:t>Администрация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г. Канска за 2019 год представлена в финансовое управление администрации города Канска 21.01.2020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Бюджетная отчетность Администрации г. Канска за 2019 год представлена в Контрольно-счетную комиссию в срок, указанный                              в сопроводительном письме о предоставлении документов от 17.02.2020 №19/01-18.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Ведение бюджетного учета в 2019 году осуществлялось МКУ «ЦБ»                           на основании договора на бухгалтерское обслуживание.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Состав и формы бюджетной отчетности   в полной мере соответствуют составу и формам отчетов, предусмотренных Инструкцией о порядке составления и представления годовой, квартальной и месячной отчетности   об исполнении бюджетов бюджетной системы Российской Федерации, утвержденной приказом Министерства финансов Российской Федерации               от 28.12.2010 № 191н (далее – Инструкция № 191н).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Оплата расходов по исполнительным листам Администрации города Канска по судебным расходам за 2019 год составили в сумме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9 112 018,54</w:t>
      </w:r>
      <w:r>
        <w:rPr>
          <w:rFonts w:cs="Times New Roman" w:ascii="Times New Roman" w:hAnsi="Times New Roman"/>
          <w:sz w:val="28"/>
          <w:szCs w:val="28"/>
        </w:rPr>
        <w:t xml:space="preserve"> рублей,  по сравнению с 2018 годом сумма по исполнительным листам увеличилась на </w:t>
      </w:r>
      <w:bookmarkStart w:id="0" w:name="__DdeLink__582_2671073178"/>
      <w:r>
        <w:rPr>
          <w:rFonts w:cs="Times New Roman" w:ascii="Times New Roman" w:hAnsi="Times New Roman"/>
          <w:b/>
          <w:bCs/>
          <w:sz w:val="28"/>
          <w:szCs w:val="28"/>
        </w:rPr>
        <w:t>6 061 473,64  р</w:t>
      </w:r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убля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(2018 год -</w:t>
      </w:r>
      <w:bookmarkStart w:id="1" w:name="__DdeLink__170_625056215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3 050 544,90</w:t>
      </w:r>
      <w:bookmarkEnd w:id="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рубля) из них;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248 375,05 рублей –задолженность за коммунальные услуги;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4 379 938,57 рублей – судебные издержки;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4 483 704,92 рубля – штрафы.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является дополнительной нагрузкой на бюджет города                               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>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Канского городского Совета депутатов от 19.12.2018             № 35-212 «О бюджете города Канска на 2019 год и плановый период 2020 – 2021 годов» Учреждению утверждены бюджетные ассигнования в объеме            </w:t>
      </w:r>
      <w:r>
        <w:rPr>
          <w:rFonts w:ascii="Times New Roman" w:hAnsi="Times New Roman"/>
          <w:b/>
          <w:sz w:val="28"/>
          <w:szCs w:val="28"/>
        </w:rPr>
        <w:t>45 173 698,00</w:t>
      </w:r>
      <w:r>
        <w:rPr>
          <w:rFonts w:ascii="Times New Roman" w:hAnsi="Times New Roman"/>
          <w:sz w:val="28"/>
          <w:szCs w:val="28"/>
        </w:rPr>
        <w:t xml:space="preserve"> рублей.  Вследствие корректировок бюджетных назначений план ассигнований увеличился на  </w:t>
      </w:r>
      <w:r>
        <w:rPr>
          <w:rFonts w:ascii="Times New Roman" w:hAnsi="Times New Roman"/>
          <w:b/>
          <w:bCs/>
          <w:sz w:val="28"/>
          <w:szCs w:val="28"/>
        </w:rPr>
        <w:t>26 990 617,37рублей</w:t>
      </w:r>
      <w:r>
        <w:rPr>
          <w:rFonts w:ascii="Times New Roman" w:hAnsi="Times New Roman"/>
          <w:sz w:val="28"/>
          <w:szCs w:val="28"/>
        </w:rPr>
        <w:t xml:space="preserve"> и составил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72 252 758,08 рублей.  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Исполнено через финансовый орган </w:t>
      </w:r>
      <w:r>
        <w:rPr>
          <w:rFonts w:ascii="Times New Roman" w:hAnsi="Times New Roman"/>
          <w:b/>
          <w:bCs/>
          <w:sz w:val="28"/>
          <w:szCs w:val="28"/>
        </w:rPr>
        <w:t xml:space="preserve">72 164 315,37 </w:t>
      </w:r>
      <w:r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или 99,88 %  от плановых ассигнований.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исполненные назначения составляют в сумме </w:t>
      </w:r>
      <w:r>
        <w:rPr>
          <w:rFonts w:ascii="Times New Roman" w:hAnsi="Times New Roman"/>
          <w:b/>
          <w:bCs/>
          <w:sz w:val="28"/>
          <w:szCs w:val="28"/>
        </w:rPr>
        <w:t>88 442,71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рубля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За счет ассигнований 2019 года была погашена кредиторская задолженность за 2018 год в сумме 239 816,31  рублей.</w:t>
      </w:r>
    </w:p>
    <w:p>
      <w:pPr>
        <w:pStyle w:val="Normal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Текущая кредиторская задолженность на 01.01.2020 год составила             в сумме 138 680,90 рублей. 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Дебиторская задолженность на 01.01.2019 по доходам – 878 053,92 рубля (в 2018 году -  519 134,03 рубля) из них: долгосрочная 354 457,64 рублей, просроченная 468 258,05 рублей.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Дебиторская задолженность на 01.01.2020 составила: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 доходам  в сумме - 991 109,61 рублей из них : 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долгосрочная в сумме -578 259,52 рублей, 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просроченная в сумме -395 550,26 рублей.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Выводы</w:t>
      </w:r>
    </w:p>
    <w:p>
      <w:pPr>
        <w:pStyle w:val="Normal"/>
        <w:tabs>
          <w:tab w:val="clear" w:pos="709"/>
          <w:tab w:val="left" w:pos="851" w:leader="none"/>
        </w:tabs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ходе проверке не выявлены факты неполного заполнения форм бюджетной отчетности.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Фактов недостоверности бюджетной отчетности не выявлено.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В нарушение принципа эффективности расходования бюджетных средств произведены расходы на оплату расходов по исполнительным листам по судебным расходам на общую сумму </w:t>
      </w:r>
      <w:r>
        <w:rPr>
          <w:rFonts w:cs="Times New Roman" w:ascii="Times New Roman" w:hAnsi="Times New Roman"/>
          <w:b/>
          <w:sz w:val="28"/>
          <w:szCs w:val="28"/>
        </w:rPr>
        <w:t xml:space="preserve"> 9 112 018,54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рублей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 Направить заключение о результатах внешней проверки бюджетной отчетности в Администрацию города Канска.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3" w:name="OLE_LINK4"/>
      <w:bookmarkStart w:id="4" w:name="OLE_LINK3"/>
      <w:bookmarkStart w:id="5" w:name="OLE_LINK4"/>
      <w:bookmarkStart w:id="6" w:name="OLE_LINK3"/>
      <w:bookmarkEnd w:id="5"/>
      <w:bookmarkEnd w:id="6"/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Контрольно-счетной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комиссии города Канска                                                                Е.В. Парфенова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86573698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31.12.2019 № 132о/д</w:t>
      </w:r>
    </w:p>
    <w:p>
      <w:pPr>
        <w:pStyle w:val="Style33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50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00d0f"/>
    <w:rPr/>
  </w:style>
  <w:style w:type="character" w:styleId="Style16" w:customStyle="1">
    <w:name w:val="Абзац списка Знак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uiPriority w:val="99"/>
    <w:semiHidden/>
    <w:qFormat/>
    <w:rsid w:val="003b5349"/>
    <w:rPr>
      <w:sz w:val="20"/>
      <w:szCs w:val="20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 w:customStyle="1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5" w:customStyle="1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false"/>
      <w:bidi w:val="0"/>
      <w:jc w:val="left"/>
    </w:pPr>
    <w:rPr>
      <w:rFonts w:ascii="Arial" w:hAnsi="Arial" w:eastAsia="Calibri" w:cs="Arial" w:eastAsiaTheme="minorHAnsi"/>
      <w:color w:val="auto"/>
      <w:kern w:val="0"/>
      <w:sz w:val="22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qFormat/>
    <w:pPr>
      <w:widowControl/>
      <w:overflowPunct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4b4d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4B62-80B8-4C87-AADA-FCD0456B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Application>LibreOffice/6.3.3.2$Windows_x86 LibreOffice_project/a64200df03143b798afd1ec74a12ab50359878ed</Application>
  <Pages>3</Pages>
  <Words>556</Words>
  <Characters>3739</Characters>
  <CharactersWithSpaces>4588</CharactersWithSpaces>
  <Paragraphs>47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2018-03-19T03:11:00Z</dcterms:created>
  <dc:creator>sk</dc:creator>
  <dc:description/>
  <dc:language>ru-RU</dc:language>
  <cp:lastModifiedBy/>
  <cp:lastPrinted>2018-04-02T06:36:00Z</cp:lastPrinted>
  <dcterms:modified xsi:type="dcterms:W3CDTF">2020-03-26T15:11:28Z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