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numbering.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media/image1.gif" ContentType="image/gif"/>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eastAsia="" w:cs="Times New Roman" w:eastAsiaTheme="minorEastAsia"/>
          <w:b/>
          <w:b/>
          <w:sz w:val="28"/>
          <w:szCs w:val="28"/>
          <w:lang w:eastAsia="ru-RU"/>
        </w:rPr>
      </w:pPr>
      <w:r>
        <w:rPr>
          <w:rFonts w:eastAsia="" w:cs="Times New Roman" w:eastAsiaTheme="minorEastAsia" w:ascii="Times New Roman" w:hAnsi="Times New Roman"/>
          <w:b/>
          <w:sz w:val="28"/>
          <w:szCs w:val="28"/>
          <w:lang w:eastAsia="ru-RU"/>
        </w:rPr>
        <w:t>Отчет</w:t>
      </w:r>
    </w:p>
    <w:p>
      <w:pPr>
        <w:pStyle w:val="Normal"/>
        <w:jc w:val="center"/>
        <w:rPr>
          <w:rFonts w:ascii="Times New Roman" w:hAnsi="Times New Roman" w:cs="Times New Roman"/>
          <w:b/>
          <w:b/>
          <w:sz w:val="28"/>
          <w:szCs w:val="28"/>
        </w:rPr>
      </w:pPr>
      <w:bookmarkStart w:id="0" w:name="__DdeLink__1355_1812324958"/>
      <w:r>
        <w:rPr>
          <w:rFonts w:cs="Times New Roman" w:ascii="Times New Roman" w:hAnsi="Times New Roman"/>
          <w:b/>
          <w:sz w:val="28"/>
          <w:szCs w:val="28"/>
        </w:rPr>
        <w:t>проверки аудит эффективности использования средств, направленных         на финансирование подпрограммы "Обеспечение условий реализации программы и прочие мероприятия", реализуемой в рамках программы "Развитие культуры", в том числе аудит муниципальных контрактов               за 2017 год.</w:t>
      </w:r>
      <w:bookmarkEnd w:id="0"/>
    </w:p>
    <w:p>
      <w:pPr>
        <w:pStyle w:val="Normal"/>
        <w:spacing w:lineRule="auto" w:line="240" w:beforeAutospacing="1" w:after="255"/>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В соответствии с пунктом 2.3 раздела 2 плана работы Контрольно-счетной комиссии города Канска на 2018 год, утвержденного решением Канского городского Совета депутатов от 15.03.2017  № 31-170, распоряжения на право проведения проверки от 20.08.2018 № 14 , выданного председателем Контрольно-счетной комиссии города Канска   Е.В. Парфеновой, инспектором С.И. Рубан с 01.09.2018 г. по 08.10.2018 г. проведена проверка аудит эффективности </w:t>
      </w:r>
      <w:r>
        <w:rPr>
          <w:rFonts w:cs="Times New Roman" w:ascii="Times New Roman" w:hAnsi="Times New Roman"/>
          <w:sz w:val="28"/>
          <w:szCs w:val="28"/>
        </w:rPr>
        <w:t>использования средств направленных на финансирование подпрограммы "Обеспечение условий реализации программы  и прочие  мероприятия", реализуемой в рамках программы "Развитие культуры", в том числе  аудит муниципальных контрактов</w:t>
      </w:r>
      <w:r>
        <w:rPr>
          <w:rFonts w:eastAsia="Times New Roman" w:cs="Times New Roman" w:ascii="Times New Roman" w:hAnsi="Times New Roman"/>
          <w:color w:val="222222"/>
          <w:sz w:val="28"/>
          <w:szCs w:val="28"/>
        </w:rPr>
        <w:t>.</w:t>
      </w:r>
    </w:p>
    <w:p>
      <w:pPr>
        <w:pStyle w:val="Normal"/>
        <w:spacing w:lineRule="auto" w:line="240" w:beforeAutospacing="1" w:after="255"/>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Период проверки: 01.01.2017-31.12.2017 года.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b/>
          <w:color w:val="222222"/>
          <w:sz w:val="28"/>
          <w:szCs w:val="28"/>
        </w:rPr>
        <w:t>Цель проверки:</w:t>
      </w:r>
      <w:r>
        <w:rPr>
          <w:rFonts w:eastAsia="Times New Roman" w:cs="Times New Roman" w:ascii="Times New Roman" w:hAnsi="Times New Roman"/>
          <w:color w:val="222222"/>
          <w:sz w:val="28"/>
          <w:szCs w:val="28"/>
        </w:rPr>
        <w:t xml:space="preserve"> аудит эффективности </w:t>
      </w:r>
      <w:r>
        <w:rPr>
          <w:rFonts w:cs="Times New Roman" w:ascii="Times New Roman" w:hAnsi="Times New Roman"/>
          <w:sz w:val="28"/>
          <w:szCs w:val="28"/>
        </w:rPr>
        <w:t>использования средств, направленных на финансирование подпрограммы "Обеспечение условий реализации программы и прочие мероприятия", реализуемой в рамках программы "Развитие культуры", в том числе аудит муниципальных контрактов</w:t>
      </w:r>
      <w:r>
        <w:rPr>
          <w:rFonts w:eastAsia="Times New Roman" w:cs="Times New Roman" w:ascii="Times New Roman" w:hAnsi="Times New Roman"/>
          <w:color w:val="222222"/>
          <w:sz w:val="28"/>
          <w:szCs w:val="28"/>
        </w:rPr>
        <w:t xml:space="preserve"> (далее – </w:t>
      </w:r>
      <w:r>
        <w:rPr>
          <w:rStyle w:val="S2"/>
          <w:rFonts w:cs="Times New Roman" w:ascii="Times New Roman" w:hAnsi="Times New Roman"/>
          <w:sz w:val="28"/>
          <w:szCs w:val="28"/>
        </w:rPr>
        <w:t>отдел культуры, ДШИ № 1, ДМШ № 2, ДХШ</w:t>
      </w:r>
      <w:r>
        <w:rPr>
          <w:rFonts w:eastAsia="Times New Roman" w:cs="Times New Roman" w:ascii="Times New Roman" w:hAnsi="Times New Roman"/>
          <w:color w:val="222222"/>
          <w:sz w:val="28"/>
          <w:szCs w:val="28"/>
        </w:rPr>
        <w:t>).</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Проверка проведена с ведома начальника отдела культуры администрации города Канска Леонтьевой Ирины Владимировны.</w:t>
      </w:r>
    </w:p>
    <w:p>
      <w:pPr>
        <w:pStyle w:val="Normal"/>
        <w:spacing w:lineRule="auto" w:line="240" w:before="0" w:after="0"/>
        <w:ind w:firstLine="709"/>
        <w:jc w:val="both"/>
        <w:rPr>
          <w:rFonts w:ascii="Times New Roman" w:hAnsi="Times New Roman"/>
          <w:b/>
          <w:b/>
          <w:sz w:val="28"/>
          <w:szCs w:val="28"/>
        </w:rPr>
      </w:pPr>
      <w:r>
        <w:rPr>
          <w:rFonts w:ascii="Times New Roman" w:hAnsi="Times New Roman"/>
          <w:b/>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b/>
          <w:sz w:val="28"/>
          <w:szCs w:val="28"/>
        </w:rPr>
        <w:t>Основание проверки:</w:t>
      </w:r>
      <w:r>
        <w:rPr>
          <w:rFonts w:ascii="Times New Roman" w:hAnsi="Times New Roman"/>
          <w:sz w:val="28"/>
          <w:szCs w:val="28"/>
        </w:rPr>
        <w:t xml:space="preserve"> п. 2.1 плана работы Контрольно-счетной комиссии города Канска, , распоряжения Председателя Контрольно-счетной комиссии города Канска от 27.02.2017 года № 7.</w:t>
      </w:r>
    </w:p>
    <w:p>
      <w:pPr>
        <w:pStyle w:val="Normal"/>
        <w:spacing w:lineRule="auto" w:line="240" w:before="0" w:after="0"/>
        <w:ind w:firstLine="709"/>
        <w:jc w:val="both"/>
        <w:rPr>
          <w:rFonts w:ascii="Times New Roman" w:hAnsi="Times New Roman"/>
          <w:b/>
          <w:b/>
          <w:sz w:val="28"/>
          <w:szCs w:val="28"/>
        </w:rPr>
      </w:pPr>
      <w:r>
        <w:rPr>
          <w:rFonts w:ascii="Times New Roman" w:hAnsi="Times New Roman"/>
          <w:b/>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b/>
          <w:sz w:val="28"/>
          <w:szCs w:val="28"/>
        </w:rPr>
        <w:t>Объект проверки:</w:t>
      </w:r>
      <w:r>
        <w:rPr>
          <w:rFonts w:ascii="Times New Roman" w:hAnsi="Times New Roman"/>
          <w:sz w:val="28"/>
          <w:szCs w:val="28"/>
        </w:rPr>
        <w:t xml:space="preserve"> </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1. Отдел культуры администрации города Канска (далее по тексту отдел культуры), ИНН 2450029250/КПП 245001001, ОГРН 1132450000011.</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Место нахождения (юридический, фактический адрес) Учреждения: 663600, Красноярский край, г. Канск, ул. Кобрина, 26.</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Свидетельство о государственной регистрации юридического лица зарегистрировано 09.01.2013 года серия 24 № 005946917.</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При проверке отдел культуры действовало на основании Положения      об отделе культуры, утвержденного решением Канского городского Совета депутатов от 16.11.2012 № 43-222 (с внесенными изменениями).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Функции и полномочия учредителя отдела культуры осуществляет          от имени муниципального образования осуществляет администрации города Канска Красноярского края.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Полномочия собственника по управлению и распоряжению имуществом отдела культуры от имени муниципального образования города Канска осуществляет МКУ «Комитет по управлению имуществом города Канска».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ascii="Times New Roman" w:hAnsi="Times New Roman"/>
          <w:sz w:val="28"/>
          <w:szCs w:val="28"/>
        </w:rPr>
        <w:t xml:space="preserve"> </w:t>
      </w:r>
      <w:r>
        <w:rPr>
          <w:rFonts w:eastAsia="Times New Roman" w:cs="Times New Roman" w:ascii="Times New Roman" w:hAnsi="Times New Roman"/>
          <w:color w:val="222222"/>
          <w:sz w:val="28"/>
          <w:szCs w:val="28"/>
        </w:rPr>
        <w:t>Отдел культуры является юридическим лицом, самостоятельно осуществляет финансово-хозяйственную деятельность, может заключать договоры, приобретать и осуществлять имущественные и личные неимущественные права, нести обязанности.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Отдел культуры вправе иметь печать, штамп, бланки со своим наименованием, зарегистрированную в установленном порядке эмблему. быть истцом и ответчиком в суде, имеет лицевой счет в органах казначейства или финансового органа муниципального образования города Канска.</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2. Муниципальное бюджетное учреждение дополнительного образования «Детская школа искусств №1» г. Канск (далее по тексту ДШИ      № 1.</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Место нахождения (юридический, фактический адрес) ДШИ № 1: 663600, Красноярский край, г. Канск, ул. Краснопартизанская, 64/3.</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Место нахождения дополнительного помещения ДШИ № 1: 663605, Красноярский край, г. Канск, ул. Н-Буды, 26 </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Свидетельство о государственной регистрации юридического лица зарегистрировано 10.11.1994 года серия 24 № 006477004, ИНН 2450008772, КПП 245001001, ОГРН 1022401360728.</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ascii="Times New Roman" w:hAnsi="Times New Roman"/>
          <w:sz w:val="28"/>
          <w:szCs w:val="28"/>
        </w:rPr>
        <w:t xml:space="preserve">При проверке ДШИ № 1 действовало на основании Устава, утвержденного постановлением администрации г.Канска от 16.02.2016 № 112 </w:t>
      </w:r>
      <w:r>
        <w:rPr>
          <w:rFonts w:eastAsia="Times New Roman" w:cs="Times New Roman" w:ascii="Times New Roman" w:hAnsi="Times New Roman"/>
          <w:color w:val="222222"/>
          <w:sz w:val="28"/>
          <w:szCs w:val="28"/>
        </w:rPr>
        <w:t xml:space="preserve">Красноярского края, согласовано с Управлением образования, комитетом                   по управлению муниципальным имуществом и зарегистрированного инспекцией Федеральной налоговой службы № 8 по Красноярскому краю. </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Учреждение имеет Лицензию № 8754-л от 15 апреля 2016 года на право оказывать образовательные услуги по реализации образовательных программ  по видам образования, по уровням образования, по профессиям специалистов, направлениям подготовки (для профессионального образования), по подвидам дополнительного образования  «Дополнительное образование детей                                 и взрослых».</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ascii="Times New Roman" w:hAnsi="Times New Roman"/>
          <w:sz w:val="28"/>
          <w:szCs w:val="28"/>
        </w:rPr>
        <w:t xml:space="preserve">ДШИ № 1 </w:t>
      </w:r>
      <w:r>
        <w:rPr>
          <w:rFonts w:eastAsia="Times New Roman" w:cs="Times New Roman" w:ascii="Times New Roman" w:hAnsi="Times New Roman"/>
          <w:color w:val="222222"/>
          <w:sz w:val="28"/>
          <w:szCs w:val="28"/>
        </w:rPr>
        <w:t>является некоммерческой организацией: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организационно-правовая форма – муниципальное бюджетное учреждение;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 xml:space="preserve">тип: учреждение дополнительного образования. </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3. Муниципальное бюджетное учреждение дополнительного образования Детская музыкальная школа № 2 (далее по тексту ДМШ № 2).</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Место нахождения (юридический, фактический адрес) ДМШ № 2: 663604, Красноярский край, г. Канск, ул. Куйбышева, 3.</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Свидетельство о государственной регистрации юридического лица зарегистрировано 21.09.2000 года серия 24 № 006477003, ИНН 2450008807, КПП 245001001, ОГРН 1022401360530.</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ascii="Times New Roman" w:hAnsi="Times New Roman"/>
          <w:sz w:val="28"/>
          <w:szCs w:val="28"/>
        </w:rPr>
        <w:t xml:space="preserve">При проверке ДМШ № 2 действовало на основании Устава, утвержденного постановлением администрации г.Канска от 18.02.2016 № 123 </w:t>
      </w:r>
      <w:r>
        <w:rPr>
          <w:rFonts w:eastAsia="Times New Roman" w:cs="Times New Roman" w:ascii="Times New Roman" w:hAnsi="Times New Roman"/>
          <w:color w:val="222222"/>
          <w:sz w:val="28"/>
          <w:szCs w:val="28"/>
        </w:rPr>
        <w:t xml:space="preserve">Красноярского края, согласовано с Управлением образования, комитетом                    по управлению муниципальным имуществом и зарегистрированного инспекцией Федеральной налоговой службы № 8 по Красноярскому краю. </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Учреждение имеет Лицензию № 8805-л от 11 мая 2016 года на право оказывать образовательные услуги по реализации образовательных программ  по видам образования, по уровням образования, по профессиям специалистов, направлениям подготовки (для профессионального образования), по подвидам дополнительного образования  «Дополнительное образование детей                                и взрослых».</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ascii="Times New Roman" w:hAnsi="Times New Roman"/>
          <w:sz w:val="28"/>
          <w:szCs w:val="28"/>
        </w:rPr>
        <w:t xml:space="preserve">ДМШ № 2 </w:t>
      </w:r>
      <w:r>
        <w:rPr>
          <w:rFonts w:eastAsia="Times New Roman" w:cs="Times New Roman" w:ascii="Times New Roman" w:hAnsi="Times New Roman"/>
          <w:color w:val="222222"/>
          <w:sz w:val="28"/>
          <w:szCs w:val="28"/>
        </w:rPr>
        <w:t>является некоммерческой организацией: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организационно-правовая форма – муниципальное бюджетное учреждение;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тип: учреждение дополнительного образования.</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4. Муниципальное бюджетное учреждение дополнительного образования Детская художественная школа (далее по тексту ДХШ ).</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Место нахождения (юридический, фактический адрес) ДХШ: 663600, Красноярский край, г. Канск, ул. Московская, 64.</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Свидетельство о государственной регистрации юридического лица зарегистрировано 21.09.2000 года серия 24 № 006477003, ИНН 2450008807, КПП 245001001, ОГРН 1022401360530.</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ascii="Times New Roman" w:hAnsi="Times New Roman"/>
          <w:sz w:val="28"/>
          <w:szCs w:val="28"/>
        </w:rPr>
        <w:t xml:space="preserve">При проверке ДХШ действовало на основании Устава, утвержденного постановлением администрации г. Канска от 14.09.2015 № 1410 </w:t>
      </w:r>
      <w:r>
        <w:rPr>
          <w:rFonts w:eastAsia="Times New Roman" w:cs="Times New Roman" w:ascii="Times New Roman" w:hAnsi="Times New Roman"/>
          <w:color w:val="222222"/>
          <w:sz w:val="28"/>
          <w:szCs w:val="28"/>
        </w:rPr>
        <w:t xml:space="preserve">Красноярского края, согласовано с Управлением образования, комитетом                  по управлению муниципальным имуществом и зарегистрированного инспекцией Федеральной налоговой службы № 8 по Красноярскому краю. </w:t>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t>Учреждение имеет Лицензию № 8288-л от 28 октября 2015 года на право оказывать образовательные услуги по реализации образовательных программ  по видам образования, по уровням образования, по профессиям специалистов, направлениям подготовки (для профессионального образования), по подвидам дополнительного образования  «Дополнительное образование детей                                 и взрослых».</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ascii="Times New Roman" w:hAnsi="Times New Roman"/>
          <w:sz w:val="28"/>
          <w:szCs w:val="28"/>
        </w:rPr>
        <w:t>ДХШ</w:t>
      </w:r>
      <w:r>
        <w:rPr>
          <w:rFonts w:eastAsia="Times New Roman" w:cs="Times New Roman" w:ascii="Times New Roman" w:hAnsi="Times New Roman"/>
          <w:color w:val="222222"/>
          <w:sz w:val="28"/>
          <w:szCs w:val="28"/>
        </w:rPr>
        <w:t xml:space="preserve"> является некоммерческой организацией: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организационно-правовая форма – муниципальное бюджетное учреждение;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тип: учреждение дополнительного образования.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ind w:firstLine="567"/>
        <w:jc w:val="both"/>
        <w:rPr>
          <w:rFonts w:ascii="Times New Roman" w:hAnsi="Times New Roman" w:eastAsia="Times New Roman" w:cs="Times New Roman"/>
          <w:sz w:val="28"/>
          <w:szCs w:val="28"/>
        </w:rPr>
      </w:pPr>
      <w:r>
        <w:rPr>
          <w:rFonts w:cs="Times New Roman" w:ascii="Times New Roman" w:hAnsi="Times New Roman"/>
          <w:sz w:val="28"/>
          <w:szCs w:val="28"/>
        </w:rPr>
        <w:t>Проект муниципальной подпрограммы, изменения, вносимые                                   в муниципальную программу «Развитие культуры» в проверяемом периоде                       не проходили экспертизу в Контрольно-счетной комиссии города Канска.</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t>По результатам контрольного мероприятия установлено:</w:t>
      </w:r>
    </w:p>
    <w:p>
      <w:pPr>
        <w:pStyle w:val="Normal"/>
        <w:ind w:firstLine="709"/>
        <w:jc w:val="center"/>
        <w:rPr>
          <w:rFonts w:ascii="Times New Roman" w:hAnsi="Times New Roman" w:cs="Times New Roman"/>
          <w:sz w:val="28"/>
          <w:szCs w:val="28"/>
        </w:rPr>
      </w:pPr>
      <w:r>
        <w:rPr>
          <w:rFonts w:cs="Times New Roman" w:ascii="Times New Roman" w:hAnsi="Times New Roman"/>
          <w:b/>
          <w:sz w:val="28"/>
          <w:szCs w:val="28"/>
        </w:rPr>
        <w:t>1. Анализ соответствия положений Программы законодательству</w:t>
      </w:r>
    </w:p>
    <w:p>
      <w:pPr>
        <w:pStyle w:val="Normal"/>
        <w:numPr>
          <w:ilvl w:val="0"/>
          <w:numId w:val="0"/>
        </w:numPr>
        <w:spacing w:before="0" w:after="0"/>
        <w:ind w:firstLine="567"/>
        <w:jc w:val="both"/>
        <w:outlineLvl w:val="0"/>
        <w:rPr>
          <w:rFonts w:ascii="Times New Roman" w:hAnsi="Times New Roman" w:cs="Times New Roman"/>
          <w:sz w:val="28"/>
          <w:szCs w:val="28"/>
        </w:rPr>
      </w:pPr>
      <w:r>
        <w:rPr>
          <w:rFonts w:cs="Times New Roman" w:ascii="Times New Roman" w:hAnsi="Times New Roman"/>
          <w:sz w:val="28"/>
          <w:szCs w:val="28"/>
        </w:rPr>
        <w:t>Муниципальная программа «Развитие культуры» на 2017 год утверждена (далее – Программа) постановлением администрации города Канска                               от 16.12.2016 № 1408 «Об утверждении программы города Канска «Развитие культуру» Срок реализации программы 2017-2020 годы.</w:t>
      </w:r>
    </w:p>
    <w:p>
      <w:pPr>
        <w:pStyle w:val="Normal"/>
        <w:numPr>
          <w:ilvl w:val="0"/>
          <w:numId w:val="0"/>
        </w:numPr>
        <w:spacing w:before="0" w:after="0"/>
        <w:ind w:firstLine="567"/>
        <w:jc w:val="both"/>
        <w:outlineLvl w:val="0"/>
        <w:rPr>
          <w:rFonts w:ascii="Times New Roman" w:hAnsi="Times New Roman" w:cs="Times New Roman"/>
          <w:sz w:val="28"/>
          <w:szCs w:val="28"/>
        </w:rPr>
      </w:pPr>
      <w:r>
        <w:rPr>
          <w:rFonts w:cs="Times New Roman" w:ascii="Times New Roman" w:hAnsi="Times New Roman"/>
          <w:sz w:val="28"/>
          <w:szCs w:val="28"/>
        </w:rPr>
        <w:t>В период проведения в целевую Программу вносили изменения 5 раз (постановлениями администрации города Канска от 14.04.2017 № 348,                         от 29.06.2017 № 577, от 11.09.2017 № 793, от 01.12.2017 № 1088, от 14.12.2017 № 1149,).</w:t>
      </w:r>
    </w:p>
    <w:p>
      <w:pPr>
        <w:pStyle w:val="Normal"/>
        <w:numPr>
          <w:ilvl w:val="0"/>
          <w:numId w:val="0"/>
        </w:numPr>
        <w:spacing w:before="0" w:after="0"/>
        <w:ind w:firstLine="567"/>
        <w:jc w:val="both"/>
        <w:outlineLvl w:val="0"/>
        <w:rPr>
          <w:rFonts w:ascii="Times New Roman" w:hAnsi="Times New Roman" w:cs="Times New Roman"/>
          <w:sz w:val="28"/>
          <w:szCs w:val="28"/>
        </w:rPr>
      </w:pPr>
      <w:r>
        <w:rPr>
          <w:rFonts w:cs="Times New Roman" w:ascii="Times New Roman" w:hAnsi="Times New Roman"/>
          <w:sz w:val="28"/>
          <w:szCs w:val="28"/>
        </w:rPr>
        <w:t>Ответственный исполнитель муниципальной программы: Отдел культуры администрации города Канска.</w:t>
      </w:r>
    </w:p>
    <w:p>
      <w:pPr>
        <w:pStyle w:val="ConsPlusNormal"/>
        <w:widowControl/>
        <w:tabs>
          <w:tab w:val="clear" w:pos="708"/>
          <w:tab w:val="left" w:pos="1134" w:leader="none"/>
        </w:tabs>
        <w:ind w:firstLine="709"/>
        <w:jc w:val="both"/>
        <w:rPr>
          <w:rFonts w:ascii="Times New Roman" w:hAnsi="Times New Roman" w:cs="Times New Roman"/>
          <w:sz w:val="28"/>
          <w:szCs w:val="28"/>
        </w:rPr>
      </w:pPr>
      <w:r>
        <w:rPr>
          <w:rFonts w:cs="Times New Roman" w:ascii="Times New Roman" w:hAnsi="Times New Roman"/>
          <w:sz w:val="28"/>
          <w:szCs w:val="28"/>
        </w:rPr>
        <w:t>Программой определена следующая цель – создание условий для развития и реализации культурного и духовного потенциала населения города Канска.</w:t>
      </w:r>
    </w:p>
    <w:p>
      <w:pPr>
        <w:pStyle w:val="ConsPlusNormal"/>
        <w:widowControl/>
        <w:tabs>
          <w:tab w:val="clear" w:pos="708"/>
          <w:tab w:val="left" w:pos="1134" w:leader="none"/>
        </w:tabs>
        <w:ind w:firstLine="709"/>
        <w:jc w:val="both"/>
        <w:rPr>
          <w:rFonts w:ascii="Times New Roman" w:hAnsi="Times New Roman" w:cs="Times New Roman"/>
          <w:sz w:val="28"/>
          <w:szCs w:val="28"/>
        </w:rPr>
      </w:pPr>
      <w:r>
        <w:rPr>
          <w:rFonts w:cs="Times New Roman" w:ascii="Times New Roman" w:hAnsi="Times New Roman"/>
          <w:color w:val="000000"/>
          <w:sz w:val="28"/>
          <w:szCs w:val="28"/>
        </w:rPr>
        <w:t>Задачи настоящей программы:</w:t>
      </w:r>
    </w:p>
    <w:p>
      <w:pPr>
        <w:pStyle w:val="ListParagraph"/>
        <w:numPr>
          <w:ilvl w:val="0"/>
          <w:numId w:val="2"/>
        </w:numPr>
        <w:ind w:left="0" w:firstLine="360"/>
        <w:jc w:val="both"/>
        <w:rPr>
          <w:rFonts w:eastAsia="Calibri"/>
          <w:sz w:val="28"/>
          <w:szCs w:val="28"/>
        </w:rPr>
      </w:pPr>
      <w:r>
        <w:rPr>
          <w:rFonts w:eastAsia="Calibri"/>
          <w:sz w:val="28"/>
          <w:szCs w:val="28"/>
        </w:rPr>
        <w:t>Сохранение и эффективное использование единого культурного пространства, культурных ценностей, норм, традиций и обычаев.</w:t>
      </w:r>
    </w:p>
    <w:p>
      <w:pPr>
        <w:pStyle w:val="ListParagraph"/>
        <w:numPr>
          <w:ilvl w:val="0"/>
          <w:numId w:val="2"/>
        </w:numPr>
        <w:ind w:left="0" w:firstLine="360"/>
        <w:jc w:val="both"/>
        <w:rPr>
          <w:rFonts w:eastAsia="Calibri"/>
          <w:sz w:val="28"/>
          <w:szCs w:val="28"/>
        </w:rPr>
      </w:pPr>
      <w:r>
        <w:rPr>
          <w:rFonts w:eastAsia="Calibri"/>
        </w:rPr>
        <w:t xml:space="preserve"> </w:t>
      </w:r>
      <w:r>
        <w:rPr>
          <w:rFonts w:eastAsia="Calibri"/>
          <w:sz w:val="28"/>
          <w:szCs w:val="28"/>
        </w:rPr>
        <w:t>Сохранение и приумножение документов архивного фонда города Канска для доступа населения к его использованию</w:t>
      </w:r>
    </w:p>
    <w:p>
      <w:pPr>
        <w:pStyle w:val="ListParagraph"/>
        <w:numPr>
          <w:ilvl w:val="0"/>
          <w:numId w:val="2"/>
        </w:numPr>
        <w:ind w:left="0" w:firstLine="360"/>
        <w:jc w:val="both"/>
        <w:rPr>
          <w:rFonts w:eastAsia="Calibri"/>
          <w:sz w:val="28"/>
          <w:szCs w:val="28"/>
        </w:rPr>
      </w:pPr>
      <w:r>
        <w:rPr>
          <w:rFonts w:eastAsia="Calibri"/>
          <w:sz w:val="28"/>
          <w:szCs w:val="28"/>
        </w:rPr>
        <w:t xml:space="preserve">Обеспечение доступа населения города Канска к культурным благам                    и участию в культурной жизни. </w:t>
      </w:r>
    </w:p>
    <w:p>
      <w:pPr>
        <w:pStyle w:val="ListParagraph"/>
        <w:widowControl w:val="false"/>
        <w:numPr>
          <w:ilvl w:val="0"/>
          <w:numId w:val="2"/>
        </w:numPr>
        <w:ind w:left="0" w:firstLine="360"/>
        <w:jc w:val="both"/>
        <w:rPr>
          <w:sz w:val="28"/>
          <w:szCs w:val="28"/>
        </w:rPr>
      </w:pPr>
      <w:r>
        <w:rPr>
          <w:rFonts w:eastAsia="Calibri"/>
          <w:sz w:val="28"/>
          <w:szCs w:val="28"/>
        </w:rPr>
        <w:t>Создание условий для устойчивого развития отрасли "культура"                             в городе Канске.</w:t>
      </w:r>
    </w:p>
    <w:p>
      <w:pPr>
        <w:pStyle w:val="ListParagraph"/>
        <w:widowControl w:val="false"/>
        <w:ind w:left="360" w:hanging="0"/>
        <w:jc w:val="both"/>
        <w:rPr>
          <w:sz w:val="28"/>
          <w:szCs w:val="28"/>
        </w:rPr>
      </w:pPr>
      <w:r>
        <w:rPr>
          <w:sz w:val="28"/>
          <w:szCs w:val="28"/>
        </w:rPr>
        <w:t>Ожидаемые конечные результаты программы позволят:</w:t>
      </w:r>
    </w:p>
    <w:p>
      <w:pPr>
        <w:pStyle w:val="ListParagraph"/>
        <w:widowControl w:val="false"/>
        <w:numPr>
          <w:ilvl w:val="0"/>
          <w:numId w:val="1"/>
        </w:numPr>
        <w:tabs>
          <w:tab w:val="clear" w:pos="708"/>
          <w:tab w:val="left" w:pos="1134" w:leader="none"/>
        </w:tabs>
        <w:spacing w:lineRule="auto" w:line="259" w:before="0" w:after="160"/>
        <w:ind w:left="0" w:firstLine="709"/>
        <w:contextualSpacing/>
        <w:jc w:val="both"/>
        <w:rPr>
          <w:sz w:val="28"/>
          <w:szCs w:val="28"/>
        </w:rPr>
      </w:pPr>
      <w:r>
        <w:rPr>
          <w:color w:val="000000"/>
          <w:sz w:val="28"/>
          <w:szCs w:val="28"/>
        </w:rPr>
        <w:t>Активизация культурного потенциала на территории города Канска</w:t>
      </w:r>
      <w:r>
        <w:rPr>
          <w:sz w:val="28"/>
          <w:szCs w:val="28"/>
        </w:rPr>
        <w:t>;</w:t>
      </w:r>
    </w:p>
    <w:p>
      <w:pPr>
        <w:pStyle w:val="ListParagraph"/>
        <w:widowControl w:val="false"/>
        <w:numPr>
          <w:ilvl w:val="0"/>
          <w:numId w:val="1"/>
        </w:numPr>
        <w:tabs>
          <w:tab w:val="clear" w:pos="708"/>
          <w:tab w:val="left" w:pos="1134" w:leader="none"/>
        </w:tabs>
        <w:spacing w:lineRule="auto" w:line="259" w:before="0" w:after="160"/>
        <w:ind w:left="0" w:firstLine="709"/>
        <w:contextualSpacing/>
        <w:jc w:val="both"/>
        <w:rPr>
          <w:sz w:val="28"/>
          <w:szCs w:val="28"/>
        </w:rPr>
      </w:pPr>
      <w:r>
        <w:rPr>
          <w:color w:val="000000"/>
          <w:sz w:val="28"/>
          <w:szCs w:val="28"/>
        </w:rPr>
        <w:t>Повышение социального статуса семьи как общественного института, обеспечивающего воспитание и передачу от поколения                                      к поколению традиционных для российской цивилизации ценностей и норм</w:t>
      </w:r>
      <w:r>
        <w:rPr>
          <w:sz w:val="28"/>
          <w:szCs w:val="28"/>
        </w:rPr>
        <w:t>;</w:t>
      </w:r>
    </w:p>
    <w:p>
      <w:pPr>
        <w:pStyle w:val="ListParagraph"/>
        <w:widowControl w:val="false"/>
        <w:numPr>
          <w:ilvl w:val="0"/>
          <w:numId w:val="1"/>
        </w:numPr>
        <w:tabs>
          <w:tab w:val="clear" w:pos="708"/>
          <w:tab w:val="left" w:pos="1134" w:leader="none"/>
        </w:tabs>
        <w:spacing w:lineRule="auto" w:line="259" w:before="0" w:after="160"/>
        <w:ind w:left="0" w:firstLine="709"/>
        <w:contextualSpacing/>
        <w:jc w:val="both"/>
        <w:rPr>
          <w:spacing w:val="-3"/>
          <w:sz w:val="28"/>
          <w:szCs w:val="28"/>
        </w:rPr>
      </w:pPr>
      <w:r>
        <w:rPr>
          <w:color w:val="000000"/>
          <w:sz w:val="28"/>
          <w:szCs w:val="28"/>
        </w:rPr>
        <w:t>Содействие формированию гармонично развитой личности, способной к активному участию в реализации муниципальной программы</w:t>
      </w:r>
      <w:r>
        <w:rPr>
          <w:spacing w:val="-3"/>
          <w:sz w:val="28"/>
          <w:szCs w:val="28"/>
        </w:rPr>
        <w:t>;</w:t>
      </w:r>
    </w:p>
    <w:p>
      <w:pPr>
        <w:pStyle w:val="ListParagraph"/>
        <w:widowControl w:val="false"/>
        <w:numPr>
          <w:ilvl w:val="0"/>
          <w:numId w:val="1"/>
        </w:numPr>
        <w:tabs>
          <w:tab w:val="clear" w:pos="708"/>
          <w:tab w:val="left" w:pos="1134" w:leader="none"/>
        </w:tabs>
        <w:spacing w:lineRule="auto" w:line="259" w:before="0" w:after="160"/>
        <w:ind w:left="0" w:firstLine="709"/>
        <w:contextualSpacing/>
        <w:jc w:val="both"/>
        <w:rPr>
          <w:spacing w:val="-3"/>
          <w:sz w:val="28"/>
          <w:szCs w:val="28"/>
        </w:rPr>
      </w:pPr>
      <w:r>
        <w:rPr>
          <w:color w:val="000000"/>
          <w:sz w:val="28"/>
          <w:szCs w:val="28"/>
        </w:rPr>
        <w:t>Сохранение культурного наследия и создание условий для развития культуры</w:t>
      </w:r>
      <w:r>
        <w:rPr>
          <w:spacing w:val="-3"/>
          <w:sz w:val="28"/>
          <w:szCs w:val="28"/>
        </w:rPr>
        <w:t>;</w:t>
      </w:r>
    </w:p>
    <w:p>
      <w:pPr>
        <w:pStyle w:val="ListParagraph"/>
        <w:numPr>
          <w:ilvl w:val="0"/>
          <w:numId w:val="1"/>
        </w:numPr>
        <w:tabs>
          <w:tab w:val="clear" w:pos="708"/>
          <w:tab w:val="left" w:pos="1134" w:leader="none"/>
        </w:tabs>
        <w:ind w:left="0" w:firstLine="709"/>
        <w:rPr>
          <w:color w:val="000000"/>
          <w:sz w:val="28"/>
          <w:szCs w:val="28"/>
        </w:rPr>
      </w:pPr>
      <w:r>
        <w:rPr>
          <w:color w:val="000000"/>
          <w:sz w:val="28"/>
          <w:szCs w:val="28"/>
        </w:rPr>
        <w:t>Формирование новой модели культурной политики.</w:t>
      </w:r>
    </w:p>
    <w:p>
      <w:pPr>
        <w:pStyle w:val="ListParagraph"/>
        <w:tabs>
          <w:tab w:val="clear" w:pos="708"/>
          <w:tab w:val="left" w:pos="1134" w:leader="none"/>
        </w:tabs>
        <w:ind w:left="0" w:firstLine="709"/>
        <w:rPr>
          <w:color w:val="000000"/>
          <w:sz w:val="28"/>
          <w:szCs w:val="28"/>
        </w:rPr>
      </w:pPr>
      <w:r>
        <w:rPr>
          <w:color w:val="000000"/>
          <w:sz w:val="28"/>
          <w:szCs w:val="28"/>
        </w:rPr>
      </w:r>
    </w:p>
    <w:p>
      <w:pPr>
        <w:pStyle w:val="ListParagraph"/>
        <w:tabs>
          <w:tab w:val="clear" w:pos="708"/>
          <w:tab w:val="left" w:pos="1134" w:leader="none"/>
        </w:tabs>
        <w:ind w:left="0" w:firstLine="709"/>
        <w:rPr>
          <w:color w:val="000000"/>
          <w:sz w:val="28"/>
          <w:szCs w:val="28"/>
        </w:rPr>
      </w:pPr>
      <w:r>
        <w:rPr>
          <w:color w:val="000000"/>
          <w:sz w:val="28"/>
          <w:szCs w:val="28"/>
        </w:rPr>
        <w:t xml:space="preserve">В рамках </w:t>
      </w:r>
      <w:r>
        <w:rPr>
          <w:sz w:val="28"/>
          <w:szCs w:val="28"/>
        </w:rPr>
        <w:t>подпрограммы "Обеспечение условий реализации программы и прочие мероприятия"</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Подпрограмма направлена на решение задачи программы "Создание условий для устойчивого развития отрасли "Культура" в городе Канске",                        а также оказывает влияние на все остальные подпрограммы, осуществляемые в рамках программы.</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Дополнительное образование в сфере культуры и искусства города Канска представляет собой систему творческого развития детей и молодежи                и непрерывный процесс подготовки профессиональных кадров для функционирования культурной сферы города.</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Сеть муниципальных образовательных учреждений дополнительного образования в области культуры включает в себя 3 детские школы: Муниципальное бюджетное учреждение дополнительного образования "Детская школа искусств N 1" г. Канска, Муниципальное бюджетное учреждение дополнительного образования Детская музыкальная школа N 2, Муниципальное бюджетное учреждение дополнительного образования Детская художественная школа.</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В настоящее время в связи с потребностью общества в неординарной творческой личности процесс поиска талантов, создания условий для развития творческих способностей с целью их последующей реализации                                             в профессиональной деятельности приобретает особую актуальность и должен быть направлен на максимально широкий круг детей и молодежи. Работа                        с одаренными детьми в городе Канске на разных уровнях проявления способностей осуществляется через развитие системы творческих конкурсов, организацию мастер-классов. Одаренным детям в области культуры                                 и искусства предоставляется возможность участия во всероссийских, международных конкурсах, фестивалях и выставках. Одной из форм работы                 с одаренными детьми также является стимулирование и поощрение, которое осуществляется через систему премий и призов по результатам конкурсов.</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Учреждения дополнительного образования в сфере культуры г. Канска принимают участие в проектной деятельности. В 2015 году Детская художественная школа на реализацию проекта "Арт-маршрут" получила субсидию в размере 231250,00 рубля.</w:t>
      </w:r>
    </w:p>
    <w:p>
      <w:pPr>
        <w:pStyle w:val="Normal"/>
        <w:spacing w:lineRule="auto" w:line="240"/>
        <w:ind w:firstLine="540"/>
        <w:jc w:val="both"/>
        <w:rPr>
          <w:rFonts w:ascii="Times New Roman" w:hAnsi="Times New Roman" w:cs="Times New Roman"/>
          <w:sz w:val="28"/>
          <w:szCs w:val="28"/>
        </w:rPr>
      </w:pPr>
      <w:r>
        <w:rPr>
          <w:rFonts w:cs="Times New Roman" w:ascii="Times New Roman" w:hAnsi="Times New Roman"/>
          <w:sz w:val="28"/>
          <w:szCs w:val="28"/>
        </w:rPr>
        <w:t>В 2017 году в целях повышения уровня педагогического мастерства                       и совершенствования работы преподавателей муниципальных образовательных учреждений дополнительного образования прошел конкурс профессионального мастерства преподавателей школ искусств "Педагогический талант в искусстве".</w:t>
      </w:r>
    </w:p>
    <w:p>
      <w:pPr>
        <w:pStyle w:val="Normal"/>
        <w:widowControl w:val="false"/>
        <w:numPr>
          <w:ilvl w:val="0"/>
          <w:numId w:val="0"/>
        </w:numPr>
        <w:shd w:val="clear" w:color="auto" w:fill="FFFFFF"/>
        <w:tabs>
          <w:tab w:val="clear" w:pos="708"/>
          <w:tab w:val="left" w:pos="1099" w:leader="none"/>
        </w:tabs>
        <w:spacing w:lineRule="auto" w:line="240"/>
        <w:jc w:val="center"/>
        <w:outlineLvl w:val="0"/>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2. Анализ объемов финансирования  Программы</w:t>
      </w:r>
    </w:p>
    <w:p>
      <w:pPr>
        <w:pStyle w:val="Normal"/>
        <w:shd w:val="clear" w:color="auto" w:fill="FFFFFF"/>
        <w:spacing w:lineRule="auto" w:line="240" w:before="0" w:after="200"/>
        <w:ind w:firstLine="567"/>
        <w:contextualSpacing/>
        <w:jc w:val="both"/>
        <w:rPr>
          <w:rFonts w:ascii="Times New Roman" w:hAnsi="Times New Roman" w:eastAsia="Times New Roman" w:cs="Times New Roman"/>
          <w:b/>
          <w:b/>
          <w:sz w:val="28"/>
          <w:szCs w:val="20"/>
        </w:rPr>
      </w:pPr>
      <w:r>
        <w:rPr>
          <w:rFonts w:eastAsia="Times New Roman" w:cs="Times New Roman" w:ascii="Times New Roman" w:hAnsi="Times New Roman"/>
          <w:sz w:val="28"/>
          <w:szCs w:val="20"/>
        </w:rPr>
        <w:t xml:space="preserve">По данной подпрограмме за 2017 год произведено расходов в сумме </w:t>
      </w:r>
      <w:r>
        <w:rPr>
          <w:rFonts w:eastAsia="Times New Roman" w:cs="Times New Roman" w:ascii="Times New Roman" w:hAnsi="Times New Roman"/>
          <w:b/>
          <w:sz w:val="28"/>
          <w:szCs w:val="20"/>
        </w:rPr>
        <w:t>42 224 888,66 рублей.</w:t>
      </w:r>
    </w:p>
    <w:p>
      <w:pPr>
        <w:pStyle w:val="Normal"/>
        <w:widowControl w:val="false"/>
        <w:ind w:firstLine="720"/>
        <w:jc w:val="both"/>
        <w:rPr>
          <w:rFonts w:ascii="Times New Roman" w:hAnsi="Times New Roman" w:cs="Times New Roman"/>
          <w:sz w:val="24"/>
          <w:szCs w:val="24"/>
          <w:highlight w:val="white"/>
        </w:rPr>
      </w:pPr>
      <w:r>
        <w:rPr/>
        <w:t xml:space="preserve">  </w:t>
      </w:r>
      <w:r>
        <w:rPr>
          <w:rFonts w:cs="Times New Roman" w:ascii="Times New Roman" w:hAnsi="Times New Roman"/>
          <w:sz w:val="28"/>
          <w:szCs w:val="28"/>
        </w:rPr>
        <w:t xml:space="preserve">Общий объем финансирования Программы представлен в таблице № 1. Мероприятия Программы реализуются за счет средств краевого бюджета,                     и городского бюджета города Канска.  </w:t>
      </w:r>
    </w:p>
    <w:p>
      <w:pPr>
        <w:pStyle w:val="Normal"/>
        <w:widowControl w:val="false"/>
        <w:spacing w:before="0" w:after="0"/>
        <w:jc w:val="center"/>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                                                                                                            </w:t>
      </w:r>
      <w:r>
        <w:rPr>
          <w:rFonts w:cs="Times New Roman" w:ascii="Times New Roman" w:hAnsi="Times New Roman"/>
          <w:sz w:val="24"/>
          <w:szCs w:val="24"/>
          <w:highlight w:val="white"/>
        </w:rPr>
        <w:t>Таблица № 1 (рублях)</w:t>
      </w:r>
    </w:p>
    <w:tbl>
      <w:tblPr>
        <w:tblStyle w:val="a4"/>
        <w:tblW w:w="9067" w:type="dxa"/>
        <w:jc w:val="left"/>
        <w:tblInd w:w="0" w:type="dxa"/>
        <w:tblCellMar>
          <w:top w:w="0" w:type="dxa"/>
          <w:left w:w="108" w:type="dxa"/>
          <w:bottom w:w="0" w:type="dxa"/>
          <w:right w:w="108" w:type="dxa"/>
        </w:tblCellMar>
        <w:tblLook w:firstRow="1" w:noVBand="0" w:lastRow="1" w:firstColumn="1" w:lastColumn="1" w:noHBand="0" w:val="01e0"/>
      </w:tblPr>
      <w:tblGrid>
        <w:gridCol w:w="2329"/>
        <w:gridCol w:w="1775"/>
        <w:gridCol w:w="1700"/>
        <w:gridCol w:w="1700"/>
        <w:gridCol w:w="1563"/>
      </w:tblGrid>
      <w:tr>
        <w:trPr>
          <w:trHeight w:val="1739" w:hRule="atLeast"/>
        </w:trPr>
        <w:tc>
          <w:tcPr>
            <w:tcW w:w="2329" w:type="dxa"/>
            <w:tcBorders/>
            <w:shd w:fill="auto" w:val="clear"/>
          </w:tcPr>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pacing w:lineRule="auto" w:line="240" w:before="0" w:after="0"/>
              <w:jc w:val="center"/>
              <w:rPr>
                <w:b/>
                <w:b/>
                <w:sz w:val="24"/>
                <w:szCs w:val="24"/>
              </w:rPr>
            </w:pPr>
            <w:r>
              <w:rPr>
                <w:rFonts w:eastAsia="Times New Roman" w:cs="Times New Roman" w:ascii="Times New Roman" w:hAnsi="Times New Roman"/>
                <w:b/>
                <w:sz w:val="24"/>
                <w:szCs w:val="24"/>
                <w:lang w:eastAsia="ru-RU"/>
              </w:rPr>
              <w:t>Период</w:t>
            </w:r>
          </w:p>
        </w:tc>
        <w:tc>
          <w:tcPr>
            <w:tcW w:w="1775" w:type="dxa"/>
            <w:tcBorders/>
            <w:shd w:fill="auto" w:val="clear"/>
          </w:tcPr>
          <w:p>
            <w:pPr>
              <w:pStyle w:val="Normal"/>
              <w:widowControl w:val="false"/>
              <w:spacing w:lineRule="auto" w:line="240" w:before="0" w:after="0"/>
              <w:jc w:val="center"/>
              <w:rPr>
                <w:b/>
                <w:b/>
                <w:sz w:val="24"/>
                <w:szCs w:val="24"/>
              </w:rPr>
            </w:pPr>
            <w:r>
              <w:rPr>
                <w:rFonts w:eastAsia="Times New Roman" w:cs="Times New Roman" w:ascii="Times New Roman" w:hAnsi="Times New Roman"/>
                <w:b/>
                <w:sz w:val="24"/>
                <w:szCs w:val="24"/>
                <w:highlight w:val="white"/>
                <w:lang w:eastAsia="ru-RU"/>
              </w:rPr>
              <w:t>Объем финансирования указанный</w:t>
            </w:r>
            <w:r>
              <w:rPr>
                <w:rFonts w:eastAsia="Times New Roman" w:cs="Times New Roman" w:ascii="Times New Roman" w:hAnsi="Times New Roman"/>
                <w:b/>
                <w:sz w:val="24"/>
                <w:szCs w:val="24"/>
                <w:highlight w:val="white"/>
                <w:lang w:val="en-US" w:eastAsia="ru-RU"/>
              </w:rPr>
              <w:t> </w:t>
            </w:r>
            <w:r>
              <w:rPr>
                <w:rFonts w:eastAsia="Times New Roman" w:cs="Times New Roman" w:ascii="Times New Roman" w:hAnsi="Times New Roman"/>
                <w:b/>
                <w:sz w:val="24"/>
                <w:szCs w:val="24"/>
                <w:highlight w:val="white"/>
                <w:lang w:eastAsia="ru-RU"/>
              </w:rPr>
              <w:t xml:space="preserve"> в паспорте программы</w:t>
            </w:r>
            <w:r>
              <w:rPr>
                <w:rFonts w:eastAsia="Times New Roman" w:cs="Times New Roman" w:ascii="Times New Roman" w:hAnsi="Times New Roman"/>
                <w:b/>
                <w:sz w:val="24"/>
                <w:szCs w:val="24"/>
                <w:lang w:eastAsia="ru-RU"/>
              </w:rPr>
              <w:t xml:space="preserve"> (с изменениями)</w:t>
            </w:r>
          </w:p>
        </w:tc>
        <w:tc>
          <w:tcPr>
            <w:tcW w:w="1700" w:type="dxa"/>
            <w:tcBorders/>
            <w:shd w:fill="auto" w:val="clear"/>
          </w:tcPr>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pacing w:lineRule="auto" w:line="240" w:before="0" w:after="0"/>
              <w:jc w:val="center"/>
              <w:rPr>
                <w:b/>
                <w:b/>
                <w:sz w:val="24"/>
                <w:szCs w:val="24"/>
              </w:rPr>
            </w:pPr>
            <w:r>
              <w:rPr>
                <w:rFonts w:eastAsia="Times New Roman" w:cs="Times New Roman" w:ascii="Times New Roman" w:hAnsi="Times New Roman"/>
                <w:b/>
                <w:sz w:val="24"/>
                <w:szCs w:val="24"/>
                <w:lang w:eastAsia="ru-RU"/>
              </w:rPr>
              <w:t>Кассовое исполнение</w:t>
            </w:r>
          </w:p>
        </w:tc>
        <w:tc>
          <w:tcPr>
            <w:tcW w:w="1700" w:type="dxa"/>
            <w:tcBorders/>
            <w:shd w:fill="auto" w:val="clear"/>
          </w:tcPr>
          <w:p>
            <w:pPr>
              <w:pStyle w:val="Normal"/>
              <w:widowControl w:val="false"/>
              <w:shd w:val="clear" w:color="auto" w:fill="FFFFFF"/>
              <w:snapToGrid w:val="false"/>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hd w:val="clear" w:color="auto" w:fill="FFFFFF"/>
              <w:snapToGrid w:val="false"/>
              <w:spacing w:lineRule="auto" w:line="240" w:before="0" w:after="0"/>
              <w:jc w:val="center"/>
              <w:rPr>
                <w:b/>
                <w:b/>
                <w:sz w:val="24"/>
                <w:szCs w:val="24"/>
              </w:rPr>
            </w:pPr>
            <w:r>
              <w:rPr>
                <w:rFonts w:eastAsia="Times New Roman" w:cs="Times New Roman" w:ascii="Times New Roman" w:hAnsi="Times New Roman"/>
                <w:b/>
                <w:sz w:val="24"/>
                <w:szCs w:val="24"/>
                <w:lang w:eastAsia="ru-RU"/>
              </w:rPr>
              <w:t>Степень выполнения в  % от утвержденного бюджета</w:t>
            </w:r>
          </w:p>
        </w:tc>
        <w:tc>
          <w:tcPr>
            <w:tcW w:w="1563" w:type="dxa"/>
            <w:tcBorders/>
            <w:shd w:fill="auto" w:val="clear"/>
          </w:tcPr>
          <w:p>
            <w:pPr>
              <w:pStyle w:val="Normal"/>
              <w:widowControl w:val="false"/>
              <w:shd w:val="clear" w:color="auto" w:fill="FFFFFF"/>
              <w:snapToGrid w:val="false"/>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hd w:val="clear" w:color="auto" w:fill="FFFFFF"/>
              <w:snapToGrid w:val="false"/>
              <w:spacing w:lineRule="auto" w:line="240" w:before="0" w:after="0"/>
              <w:jc w:val="center"/>
              <w:rPr>
                <w:b/>
                <w:b/>
                <w:sz w:val="24"/>
                <w:szCs w:val="24"/>
              </w:rPr>
            </w:pPr>
            <w:r>
              <w:rPr>
                <w:rFonts w:eastAsia="Times New Roman" w:cs="Times New Roman" w:ascii="Times New Roman" w:hAnsi="Times New Roman"/>
                <w:b/>
                <w:sz w:val="24"/>
                <w:szCs w:val="24"/>
                <w:lang w:eastAsia="ru-RU"/>
              </w:rPr>
              <w:t>Степень выполнения в  % от паспорта</w:t>
            </w:r>
          </w:p>
          <w:p>
            <w:pPr>
              <w:pStyle w:val="Normal"/>
              <w:widowControl w:val="false"/>
              <w:shd w:val="clear" w:color="auto" w:fill="FFFFFF"/>
              <w:snapToGrid w:val="false"/>
              <w:spacing w:lineRule="auto" w:line="240" w:before="0" w:after="0"/>
              <w:jc w:val="center"/>
              <w:rPr>
                <w:b/>
                <w:b/>
                <w:sz w:val="24"/>
                <w:szCs w:val="24"/>
              </w:rPr>
            </w:pPr>
            <w:r>
              <w:rPr>
                <w:rFonts w:eastAsia="Times New Roman" w:cs="Times New Roman" w:ascii="Times New Roman" w:hAnsi="Times New Roman"/>
                <w:b/>
                <w:sz w:val="24"/>
                <w:szCs w:val="24"/>
                <w:lang w:eastAsia="ru-RU"/>
              </w:rPr>
              <w:t>Программы</w:t>
            </w:r>
          </w:p>
          <w:p>
            <w:pPr>
              <w:pStyle w:val="Normal"/>
              <w:widowControl w:val="false"/>
              <w:shd w:val="clear" w:color="auto" w:fill="FFFFFF"/>
              <w:snapToGrid w:val="false"/>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r>
      <w:tr>
        <w:trPr>
          <w:trHeight w:val="538" w:hRule="atLeast"/>
        </w:trPr>
        <w:tc>
          <w:tcPr>
            <w:tcW w:w="2329"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Краевой бюджет</w:t>
            </w:r>
          </w:p>
        </w:tc>
        <w:tc>
          <w:tcPr>
            <w:tcW w:w="1775"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2 691 316,10</w:t>
            </w:r>
          </w:p>
        </w:tc>
        <w:tc>
          <w:tcPr>
            <w:tcW w:w="1700"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2 691 316,10</w:t>
            </w:r>
          </w:p>
        </w:tc>
        <w:tc>
          <w:tcPr>
            <w:tcW w:w="1700"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100</w:t>
            </w:r>
          </w:p>
        </w:tc>
        <w:tc>
          <w:tcPr>
            <w:tcW w:w="1563"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100</w:t>
            </w:r>
          </w:p>
        </w:tc>
      </w:tr>
      <w:tr>
        <w:trPr>
          <w:trHeight w:val="269" w:hRule="atLeast"/>
        </w:trPr>
        <w:tc>
          <w:tcPr>
            <w:tcW w:w="2329"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Местный бюджет</w:t>
            </w:r>
          </w:p>
        </w:tc>
        <w:tc>
          <w:tcPr>
            <w:tcW w:w="1775"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39 533 572,56</w:t>
            </w:r>
          </w:p>
        </w:tc>
        <w:tc>
          <w:tcPr>
            <w:tcW w:w="1700"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39 533 572,56</w:t>
            </w:r>
          </w:p>
        </w:tc>
        <w:tc>
          <w:tcPr>
            <w:tcW w:w="1700"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100</w:t>
            </w:r>
          </w:p>
        </w:tc>
        <w:tc>
          <w:tcPr>
            <w:tcW w:w="1563" w:type="dxa"/>
            <w:tcBorders/>
            <w:shd w:fill="auto" w:val="clea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lang w:eastAsia="ru-RU"/>
              </w:rPr>
              <w:t>100</w:t>
            </w:r>
          </w:p>
        </w:tc>
      </w:tr>
      <w:tr>
        <w:trPr>
          <w:trHeight w:val="284" w:hRule="atLeast"/>
        </w:trPr>
        <w:tc>
          <w:tcPr>
            <w:tcW w:w="2329" w:type="dxa"/>
            <w:tcBorders/>
            <w:shd w:fill="auto" w:val="clear"/>
          </w:tcPr>
          <w:p>
            <w:pPr>
              <w:pStyle w:val="Normal"/>
              <w:widowControl w:val="false"/>
              <w:spacing w:lineRule="auto" w:line="240" w:before="0" w:after="0"/>
              <w:jc w:val="center"/>
              <w:rPr>
                <w:b/>
                <w:b/>
                <w:sz w:val="24"/>
                <w:szCs w:val="24"/>
              </w:rPr>
            </w:pPr>
            <w:r>
              <w:rPr>
                <w:rFonts w:eastAsia="Times New Roman" w:cs="Times New Roman" w:ascii="Times New Roman" w:hAnsi="Times New Roman"/>
                <w:b/>
                <w:sz w:val="24"/>
                <w:szCs w:val="24"/>
                <w:lang w:eastAsia="ru-RU"/>
              </w:rPr>
              <w:t>ИТОГО:</w:t>
            </w:r>
          </w:p>
        </w:tc>
        <w:tc>
          <w:tcPr>
            <w:tcW w:w="1775" w:type="dxa"/>
            <w:tcBorders/>
            <w:shd w:fill="auto" w:val="clear"/>
          </w:tcPr>
          <w:p>
            <w:pPr>
              <w:pStyle w:val="Normal"/>
              <w:widowControl w:val="false"/>
              <w:spacing w:lineRule="auto" w:line="240" w:before="0" w:after="0"/>
              <w:jc w:val="right"/>
              <w:rPr>
                <w:b/>
                <w:b/>
                <w:sz w:val="24"/>
                <w:szCs w:val="24"/>
              </w:rPr>
            </w:pPr>
            <w:r>
              <w:rPr>
                <w:rFonts w:eastAsia="Times New Roman" w:cs="Times New Roman" w:ascii="Times New Roman" w:hAnsi="Times New Roman"/>
                <w:b/>
                <w:sz w:val="24"/>
                <w:szCs w:val="24"/>
                <w:lang w:eastAsia="ru-RU"/>
              </w:rPr>
              <w:t>42 224 888,66</w:t>
            </w:r>
          </w:p>
        </w:tc>
        <w:tc>
          <w:tcPr>
            <w:tcW w:w="1700" w:type="dxa"/>
            <w:tcBorders/>
            <w:shd w:fill="auto" w:val="clear"/>
          </w:tcPr>
          <w:p>
            <w:pPr>
              <w:pStyle w:val="Normal"/>
              <w:widowControl w:val="false"/>
              <w:spacing w:lineRule="auto" w:line="240" w:before="0" w:after="0"/>
              <w:jc w:val="right"/>
              <w:rPr>
                <w:b/>
                <w:b/>
                <w:sz w:val="24"/>
                <w:szCs w:val="24"/>
              </w:rPr>
            </w:pPr>
            <w:r>
              <w:rPr>
                <w:rFonts w:eastAsia="Times New Roman" w:cs="Times New Roman" w:ascii="Times New Roman" w:hAnsi="Times New Roman"/>
                <w:b/>
                <w:sz w:val="24"/>
                <w:szCs w:val="24"/>
                <w:lang w:eastAsia="ru-RU"/>
              </w:rPr>
              <w:t>42 224 888,66</w:t>
            </w:r>
          </w:p>
        </w:tc>
        <w:tc>
          <w:tcPr>
            <w:tcW w:w="1700" w:type="dxa"/>
            <w:tcBorders/>
            <w:shd w:fill="auto" w:val="clear"/>
          </w:tcPr>
          <w:p>
            <w:pPr>
              <w:pStyle w:val="Normal"/>
              <w:widowControl w:val="false"/>
              <w:spacing w:lineRule="auto" w:line="240" w:before="0" w:after="0"/>
              <w:jc w:val="center"/>
              <w:rPr>
                <w:b/>
                <w:b/>
                <w:sz w:val="24"/>
                <w:szCs w:val="24"/>
              </w:rPr>
            </w:pPr>
            <w:r>
              <w:rPr>
                <w:rFonts w:eastAsia="Times New Roman" w:cs="Times New Roman" w:ascii="Times New Roman" w:hAnsi="Times New Roman"/>
                <w:b/>
                <w:sz w:val="24"/>
                <w:szCs w:val="24"/>
                <w:lang w:eastAsia="ru-RU"/>
              </w:rPr>
              <w:t>100</w:t>
            </w:r>
          </w:p>
        </w:tc>
        <w:tc>
          <w:tcPr>
            <w:tcW w:w="1563" w:type="dxa"/>
            <w:tcBorders/>
            <w:shd w:fill="auto" w:val="clear"/>
          </w:tcPr>
          <w:p>
            <w:pPr>
              <w:pStyle w:val="Normal"/>
              <w:widowControl w:val="false"/>
              <w:spacing w:lineRule="auto" w:line="240" w:before="0" w:after="0"/>
              <w:jc w:val="center"/>
              <w:rPr>
                <w:b/>
                <w:b/>
                <w:sz w:val="24"/>
                <w:szCs w:val="24"/>
              </w:rPr>
            </w:pPr>
            <w:r>
              <w:rPr>
                <w:rFonts w:eastAsia="Times New Roman" w:cs="Times New Roman" w:ascii="Times New Roman" w:hAnsi="Times New Roman"/>
                <w:b/>
                <w:sz w:val="24"/>
                <w:szCs w:val="24"/>
                <w:lang w:eastAsia="ru-RU"/>
              </w:rPr>
              <w:t>100</w:t>
            </w:r>
          </w:p>
        </w:tc>
      </w:tr>
    </w:tbl>
    <w:p>
      <w:pPr>
        <w:pStyle w:val="Normal"/>
        <w:shd w:val="clear" w:color="auto" w:fill="FFFFFF"/>
        <w:spacing w:lineRule="auto" w:line="240" w:before="0" w:after="0"/>
        <w:ind w:firstLine="567"/>
        <w:contextualSpacing/>
        <w:jc w:val="both"/>
        <w:rPr>
          <w:rFonts w:ascii="Times New Roman" w:hAnsi="Times New Roman" w:eastAsia="Times New Roman" w:cs="Times New Roman"/>
          <w:sz w:val="28"/>
          <w:szCs w:val="20"/>
        </w:rPr>
      </w:pPr>
      <w:r>
        <w:rPr>
          <w:rFonts w:eastAsia="Times New Roman" w:cs="Times New Roman" w:ascii="Times New Roman" w:hAnsi="Times New Roman"/>
          <w:sz w:val="28"/>
          <w:szCs w:val="20"/>
        </w:rPr>
        <w:t>Расходование средств осуществлялось по следующим направлениям:</w:t>
      </w:r>
    </w:p>
    <w:p>
      <w:pPr>
        <w:pStyle w:val="Normal"/>
        <w:shd w:val="clear" w:color="auto" w:fill="FFFFFF"/>
        <w:tabs>
          <w:tab w:val="clear" w:pos="708"/>
          <w:tab w:val="left" w:pos="426" w:leader="none"/>
        </w:tabs>
        <w:spacing w:lineRule="auto" w:line="240" w:before="0" w:after="0"/>
        <w:contextualSpacing/>
        <w:jc w:val="both"/>
        <w:rPr>
          <w:rFonts w:ascii="Times New Roman" w:hAnsi="Times New Roman" w:eastAsia="Times New Roman" w:cs="Times New Roman"/>
          <w:sz w:val="28"/>
          <w:szCs w:val="20"/>
        </w:rPr>
      </w:pPr>
      <w:r>
        <w:rPr>
          <w:rFonts w:eastAsia="Times New Roman" w:cs="Times New Roman" w:ascii="Times New Roman" w:hAnsi="Times New Roman"/>
          <w:sz w:val="28"/>
          <w:szCs w:val="20"/>
        </w:rPr>
        <w:t>- обеспечение деятельности Отдела культуры администрации г. Канска                           в сумме 1 676 801,04 рубль;</w:t>
      </w:r>
    </w:p>
    <w:p>
      <w:pPr>
        <w:pStyle w:val="Normal"/>
        <w:shd w:val="clear" w:color="auto" w:fill="FFFFFF"/>
        <w:tabs>
          <w:tab w:val="clear" w:pos="708"/>
          <w:tab w:val="left" w:pos="426" w:leader="none"/>
        </w:tabs>
        <w:spacing w:lineRule="auto" w:line="240" w:before="0" w:after="0"/>
        <w:contextualSpacing/>
        <w:jc w:val="both"/>
        <w:rPr>
          <w:rFonts w:ascii="Times New Roman" w:hAnsi="Times New Roman" w:eastAsia="Times New Roman" w:cs="Times New Roman"/>
          <w:sz w:val="28"/>
          <w:szCs w:val="20"/>
        </w:rPr>
      </w:pPr>
      <w:r>
        <w:rPr>
          <w:rFonts w:eastAsia="Times New Roman" w:cs="Times New Roman" w:ascii="Times New Roman" w:hAnsi="Times New Roman"/>
          <w:sz w:val="28"/>
          <w:szCs w:val="20"/>
        </w:rPr>
        <w:t>- обеспечение деятельности музыкальной и художественной школ, школы искусств в сумме 39 958 815,52 рублей;</w:t>
      </w:r>
    </w:p>
    <w:p>
      <w:pPr>
        <w:pStyle w:val="Normal"/>
        <w:tabs>
          <w:tab w:val="clear" w:pos="708"/>
          <w:tab w:val="left" w:pos="426" w:leader="none"/>
        </w:tabs>
        <w:spacing w:lineRule="auto" w:line="240" w:before="0" w:after="0"/>
        <w:contextualSpacing/>
        <w:jc w:val="both"/>
        <w:rPr>
          <w:rFonts w:ascii="Calibri" w:hAnsi="Calibri" w:eastAsia="Calibri" w:cs="Times New Roman"/>
          <w:szCs w:val="28"/>
          <w:lang w:eastAsia="en-US"/>
        </w:rPr>
      </w:pPr>
      <w:r>
        <w:rPr>
          <w:rFonts w:eastAsia="Times New Roman" w:cs="Times New Roman" w:ascii="Times New Roman" w:hAnsi="Times New Roman"/>
          <w:sz w:val="28"/>
          <w:szCs w:val="20"/>
        </w:rPr>
        <w:t xml:space="preserve">- за счет средств гранта по содействию достижению и (или) поощрения достижения наилучших значений показателей эффективности деятельности органов местного самоуправления городских округов и </w:t>
      </w:r>
      <w:r>
        <w:rPr>
          <w:rFonts w:eastAsia="Times New Roman" w:cs="Times New Roman" w:ascii="Times New Roman" w:hAnsi="Times New Roman"/>
          <w:sz w:val="28"/>
          <w:szCs w:val="28"/>
        </w:rPr>
        <w:t>муниципальных районов в сумме 589 272,10 рублей.</w:t>
      </w:r>
    </w:p>
    <w:p>
      <w:pPr>
        <w:pStyle w:val="Normal"/>
        <w:tabs>
          <w:tab w:val="clear" w:pos="708"/>
          <w:tab w:val="left" w:pos="426" w:leader="none"/>
        </w:tabs>
        <w:spacing w:lineRule="auto" w:line="240" w:before="0" w:after="0"/>
        <w:ind w:firstLine="56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Муниципальным бюджетным учреждением дополнительного образования «Детская школа искусств № 1» г. Канска приобретено:                                  1 компьютерный комплекс, 2 экрана, 2 проектора, 2 ноутбука, 1 компактная камера, 3 МФУ, 4 радиосистемы.</w:t>
      </w:r>
    </w:p>
    <w:p>
      <w:pPr>
        <w:pStyle w:val="Normal"/>
        <w:tabs>
          <w:tab w:val="clear" w:pos="708"/>
          <w:tab w:val="left" w:pos="426" w:leader="none"/>
        </w:tabs>
        <w:spacing w:lineRule="auto" w:line="240" w:before="0" w:after="0"/>
        <w:ind w:firstLine="567"/>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Муниципальным бюджетным учреждением дополнительного образования Детская музыкальная школа № 2 приобретено: 2 компьютера,                     3 принтера, 2 телевизора с кронштейнами, 1 проектор, 1 экран на штативе,                     2 ноутбука.</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Запланированные средства муниципальной программы «Развитие культуры» на 2017 год и запланированные целевые показатели выполнены полностью.</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highlight w:val="yellow"/>
          <w:u w:val="single"/>
        </w:rPr>
        <w:t xml:space="preserve">Эффективность реализации муниципальной программы за 2017 год признается </w:t>
      </w:r>
      <w:r>
        <w:rPr>
          <w:rFonts w:cs="Times New Roman" w:ascii="Times New Roman" w:hAnsi="Times New Roman"/>
          <w:b/>
          <w:sz w:val="28"/>
          <w:szCs w:val="28"/>
          <w:highlight w:val="yellow"/>
          <w:u w:val="single"/>
        </w:rPr>
        <w:t>высокоэффективной</w:t>
      </w:r>
      <w:r>
        <w:rPr>
          <w:rFonts w:cs="Times New Roman" w:ascii="Times New Roman" w:hAnsi="Times New Roman"/>
          <w:sz w:val="28"/>
          <w:szCs w:val="28"/>
          <w:highlight w:val="yellow"/>
        </w:rPr>
        <w:t>.</w:t>
      </w:r>
    </w:p>
    <w:p>
      <w:pPr>
        <w:pStyle w:val="Normal"/>
        <w:numPr>
          <w:ilvl w:val="0"/>
          <w:numId w:val="0"/>
        </w:numPr>
        <w:spacing w:lineRule="auto" w:line="240" w:before="0" w:after="0"/>
        <w:jc w:val="both"/>
        <w:outlineLvl w:val="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 данной подпрограмме предоставлены средств краевого бюджета бюджета, на реализацию мероприятий настоящей подпрограммы осуществляется на основании соглашений, заключенный Министерством экономического развития и инвестиционной политики Красноярского края                 и Администрацией города Канска.</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Ассигнования выделены в рамках государственной программы Красноярского края «Содействие развитию местного самоуправления» (далее- ГП), утвержденной постановлением Правительства Красноярского края,                     от 30.09.2013 № 517-п, постановления Правительства Красноярского края              от 07.12.2017 № 727-п «Об утверждении распределения грантов  бюджетам городских округов и муниципальных районов Красноярского края в целях содействия достижению и (или)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Красноярского края                                 по результатам оценки эффективности их деятельности на 2017 »</w:t>
      </w:r>
    </w:p>
    <w:p>
      <w:pPr>
        <w:pStyle w:val="Normal"/>
        <w:numPr>
          <w:ilvl w:val="0"/>
          <w:numId w:val="0"/>
        </w:numPr>
        <w:jc w:val="both"/>
        <w:outlineLvl w:val="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Всего по данной ГП  согласно соглашения выделены краевые средства в сумме 1 550 439,00 рублей, из них на приобретения оборудования в сумме 1 395 395,10 рублей и  10% на материальное поощрение работников органов местного самоуправления на сумму 155043,90 рубля в том числе:</w:t>
      </w:r>
    </w:p>
    <w:p>
      <w:pPr>
        <w:pStyle w:val="Normal"/>
        <w:numPr>
          <w:ilvl w:val="0"/>
          <w:numId w:val="0"/>
        </w:numPr>
        <w:spacing w:lineRule="auto" w:line="240" w:before="0" w:after="0"/>
        <w:jc w:val="both"/>
        <w:outlineLvl w:val="0"/>
        <w:rPr>
          <w:rFonts w:ascii="Times New Roman" w:hAnsi="Times New Roman" w:cs="Times New Roman"/>
          <w:sz w:val="28"/>
          <w:szCs w:val="28"/>
        </w:rPr>
      </w:pPr>
      <w:r>
        <w:rPr>
          <w:rFonts w:cs="Times New Roman" w:ascii="Times New Roman" w:hAnsi="Times New Roman"/>
          <w:sz w:val="28"/>
          <w:szCs w:val="28"/>
        </w:rPr>
        <w:t>На материальное поощрение работников органов местного самоуправления</w:t>
      </w:r>
    </w:p>
    <w:p>
      <w:pPr>
        <w:pStyle w:val="Normal"/>
        <w:numPr>
          <w:ilvl w:val="0"/>
          <w:numId w:val="0"/>
        </w:numPr>
        <w:spacing w:lineRule="auto" w:line="240" w:before="0" w:after="0"/>
        <w:jc w:val="right"/>
        <w:outlineLvl w:val="0"/>
        <w:rPr>
          <w:rFonts w:ascii="Times New Roman" w:hAnsi="Times New Roman" w:cs="Times New Roman"/>
          <w:sz w:val="24"/>
          <w:szCs w:val="24"/>
        </w:rPr>
      </w:pPr>
      <w:r>
        <w:rPr>
          <w:rFonts w:cs="Times New Roman" w:ascii="Times New Roman" w:hAnsi="Times New Roman"/>
          <w:sz w:val="24"/>
          <w:szCs w:val="24"/>
        </w:rPr>
        <w:t>Таблица № 2 (рублях)</w:t>
      </w:r>
    </w:p>
    <w:tbl>
      <w:tblPr>
        <w:tblW w:w="9351" w:type="dxa"/>
        <w:jc w:val="left"/>
        <w:tblInd w:w="0" w:type="dxa"/>
        <w:tblCellMar>
          <w:top w:w="0" w:type="dxa"/>
          <w:left w:w="108" w:type="dxa"/>
          <w:bottom w:w="0" w:type="dxa"/>
          <w:right w:w="108" w:type="dxa"/>
        </w:tblCellMar>
        <w:tblLook w:firstRow="1" w:noVBand="1" w:lastRow="0" w:firstColumn="1" w:lastColumn="0" w:noHBand="0" w:val="04a0"/>
      </w:tblPr>
      <w:tblGrid>
        <w:gridCol w:w="3538"/>
        <w:gridCol w:w="2126"/>
        <w:gridCol w:w="1559"/>
        <w:gridCol w:w="2127"/>
      </w:tblGrid>
      <w:tr>
        <w:trPr>
          <w:trHeight w:val="874"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i/>
                <w:i/>
                <w:sz w:val="24"/>
                <w:szCs w:val="24"/>
              </w:rPr>
            </w:pPr>
            <w:r>
              <w:rPr>
                <w:rFonts w:cs="Times New Roman" w:ascii="Times New Roman" w:hAnsi="Times New Roman"/>
                <w:b/>
                <w:i/>
                <w:sz w:val="24"/>
                <w:szCs w:val="24"/>
              </w:rPr>
              <w:t>Наименование</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i/>
                <w:i/>
                <w:sz w:val="24"/>
                <w:szCs w:val="24"/>
              </w:rPr>
            </w:pPr>
            <w:r>
              <w:rPr>
                <w:rFonts w:cs="Times New Roman" w:ascii="Times New Roman" w:hAnsi="Times New Roman"/>
                <w:b/>
                <w:i/>
                <w:sz w:val="24"/>
                <w:szCs w:val="24"/>
              </w:rPr>
              <w:t>Всего предусмотренно  ассигнований</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Краевой Бюджет</w:t>
            </w:r>
          </w:p>
        </w:tc>
        <w:tc>
          <w:tcPr>
            <w:tcW w:w="21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Исполненно в 2017 году</w:t>
            </w:r>
          </w:p>
        </w:tc>
      </w:tr>
      <w:tr>
        <w:trPr>
          <w:trHeight w:val="29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i/>
                <w:i/>
                <w:sz w:val="24"/>
                <w:szCs w:val="24"/>
              </w:rPr>
            </w:pPr>
            <w:r>
              <w:rPr>
                <w:rFonts w:cs="Times New Roman" w:ascii="Times New Roman" w:hAnsi="Times New Roman"/>
                <w:b/>
                <w:sz w:val="24"/>
                <w:szCs w:val="24"/>
              </w:rPr>
              <w:t>Всего по подпрограмме в тыс. руб.</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i/>
                <w:i/>
                <w:sz w:val="24"/>
                <w:szCs w:val="24"/>
              </w:rPr>
            </w:pPr>
            <w:r>
              <w:rPr>
                <w:rFonts w:cs="Times New Roman" w:ascii="Times New Roman" w:hAnsi="Times New Roman"/>
                <w:b/>
                <w:i/>
                <w:sz w:val="24"/>
                <w:szCs w:val="24"/>
              </w:rPr>
              <w:t>155 043,90</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i/>
                <w:i/>
                <w:sz w:val="24"/>
                <w:szCs w:val="24"/>
              </w:rPr>
            </w:pPr>
            <w:r>
              <w:rPr>
                <w:rFonts w:cs="Times New Roman" w:ascii="Times New Roman" w:hAnsi="Times New Roman"/>
                <w:b/>
                <w:i/>
                <w:sz w:val="24"/>
                <w:szCs w:val="24"/>
              </w:rPr>
              <w:t>155 043,90</w:t>
            </w:r>
          </w:p>
        </w:tc>
        <w:tc>
          <w:tcPr>
            <w:tcW w:w="21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b/>
                <w:b/>
                <w:i/>
                <w:i/>
                <w:sz w:val="24"/>
                <w:szCs w:val="24"/>
                <w:lang w:eastAsia="en-US"/>
              </w:rPr>
            </w:pPr>
            <w:r>
              <w:rPr>
                <w:rFonts w:cs="Times New Roman" w:ascii="Times New Roman" w:hAnsi="Times New Roman"/>
                <w:b/>
                <w:i/>
                <w:sz w:val="24"/>
                <w:szCs w:val="24"/>
                <w:lang w:eastAsia="en-US"/>
              </w:rPr>
              <w:t>155 043,90</w:t>
            </w:r>
          </w:p>
        </w:tc>
      </w:tr>
      <w:tr>
        <w:trPr>
          <w:trHeight w:val="41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Управление образования города Канска</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10 521,90</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10 521,90</w:t>
            </w:r>
          </w:p>
        </w:tc>
        <w:tc>
          <w:tcPr>
            <w:tcW w:w="21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lang w:eastAsia="en-US"/>
              </w:rPr>
            </w:pPr>
            <w:r>
              <w:rPr>
                <w:rFonts w:cs="Times New Roman" w:ascii="Times New Roman" w:hAnsi="Times New Roman"/>
                <w:sz w:val="24"/>
                <w:szCs w:val="24"/>
                <w:lang w:eastAsia="en-US"/>
              </w:rPr>
              <w:t>10 521,90</w:t>
            </w:r>
          </w:p>
        </w:tc>
      </w:tr>
      <w:tr>
        <w:trPr>
          <w:trHeight w:val="393"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Администрация города Канска</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39 060,00</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39 060,00</w:t>
            </w:r>
          </w:p>
        </w:tc>
        <w:tc>
          <w:tcPr>
            <w:tcW w:w="21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lang w:eastAsia="en-US"/>
              </w:rPr>
            </w:pPr>
            <w:r>
              <w:rPr>
                <w:rFonts w:cs="Times New Roman" w:ascii="Times New Roman" w:hAnsi="Times New Roman"/>
                <w:sz w:val="24"/>
                <w:szCs w:val="24"/>
                <w:lang w:eastAsia="en-US"/>
              </w:rPr>
              <w:t>39 060,00</w:t>
            </w:r>
          </w:p>
        </w:tc>
      </w:tr>
      <w:tr>
        <w:trPr>
          <w:trHeight w:val="823"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Комитет по управлению муниципальным имуществом города Канска</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10 416,00</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10 416,00</w:t>
            </w:r>
          </w:p>
        </w:tc>
        <w:tc>
          <w:tcPr>
            <w:tcW w:w="21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lang w:eastAsia="en-US"/>
              </w:rPr>
            </w:pPr>
            <w:r>
              <w:rPr>
                <w:rFonts w:cs="Times New Roman" w:ascii="Times New Roman" w:hAnsi="Times New Roman"/>
                <w:sz w:val="24"/>
                <w:szCs w:val="24"/>
                <w:lang w:eastAsia="en-US"/>
              </w:rPr>
              <w:t>10 416,00</w:t>
            </w:r>
          </w:p>
        </w:tc>
      </w:tr>
      <w:tr>
        <w:trPr>
          <w:trHeight w:val="835"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Управление архитектуры и инвестиций администрации города Канска</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36 456,00</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36 456,00</w:t>
            </w:r>
          </w:p>
        </w:tc>
        <w:tc>
          <w:tcPr>
            <w:tcW w:w="21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jc w:val="center"/>
              <w:rPr>
                <w:rFonts w:ascii="Times New Roman" w:hAnsi="Times New Roman" w:cs="Times New Roman"/>
                <w:sz w:val="24"/>
                <w:szCs w:val="24"/>
                <w:lang w:eastAsia="en-US"/>
              </w:rPr>
            </w:pPr>
            <w:r>
              <w:rPr>
                <w:rFonts w:cs="Times New Roman" w:ascii="Times New Roman" w:hAnsi="Times New Roman"/>
                <w:sz w:val="24"/>
                <w:szCs w:val="24"/>
                <w:lang w:eastAsia="en-US"/>
              </w:rPr>
              <w:t>36 456,00</w:t>
            </w:r>
          </w:p>
        </w:tc>
      </w:tr>
      <w:tr>
        <w:trPr>
          <w:trHeight w:val="877"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Финансовое управление администрации города Канска</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58 590,00</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58 590,00</w:t>
            </w:r>
          </w:p>
        </w:tc>
        <w:tc>
          <w:tcPr>
            <w:tcW w:w="21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jc w:val="center"/>
              <w:rPr>
                <w:rFonts w:ascii="Times New Roman" w:hAnsi="Times New Roman" w:cs="Times New Roman"/>
                <w:sz w:val="24"/>
                <w:szCs w:val="24"/>
                <w:lang w:eastAsia="en-US"/>
              </w:rPr>
            </w:pPr>
            <w:r>
              <w:rPr>
                <w:rFonts w:cs="Times New Roman" w:ascii="Times New Roman" w:hAnsi="Times New Roman"/>
                <w:sz w:val="24"/>
                <w:szCs w:val="24"/>
                <w:lang w:eastAsia="en-US"/>
              </w:rPr>
              <w:t>58 590,00</w:t>
            </w:r>
          </w:p>
        </w:tc>
      </w:tr>
    </w:tbl>
    <w:p>
      <w:pPr>
        <w:pStyle w:val="Normal"/>
        <w:numPr>
          <w:ilvl w:val="0"/>
          <w:numId w:val="0"/>
        </w:numPr>
        <w:spacing w:lineRule="auto" w:line="240" w:before="0" w:after="0"/>
        <w:jc w:val="both"/>
        <w:outlineLvl w:val="0"/>
        <w:rPr>
          <w:b/>
          <w:b/>
        </w:rPr>
      </w:pPr>
      <w:r>
        <w:rPr/>
        <w:t xml:space="preserve">        </w:t>
      </w:r>
      <w:r>
        <w:rPr>
          <w:rFonts w:cs="Times New Roman" w:ascii="Times New Roman" w:hAnsi="Times New Roman"/>
          <w:sz w:val="28"/>
          <w:szCs w:val="28"/>
        </w:rPr>
        <w:t>На приобретения оборудования для укрепление материально-технической базы муниципальных домов культуры (приобретение оборудования)</w:t>
      </w:r>
      <w:r>
        <w:rPr/>
        <w:t xml:space="preserve">                                                     </w:t>
      </w:r>
    </w:p>
    <w:p>
      <w:pPr>
        <w:pStyle w:val="Normal"/>
        <w:numPr>
          <w:ilvl w:val="0"/>
          <w:numId w:val="0"/>
        </w:numPr>
        <w:spacing w:lineRule="auto" w:line="240" w:before="0" w:after="0"/>
        <w:jc w:val="right"/>
        <w:outlineLvl w:val="0"/>
        <w:rPr>
          <w:rFonts w:ascii="Times New Roman" w:hAnsi="Times New Roman" w:cs="Times New Roman"/>
          <w:sz w:val="24"/>
          <w:szCs w:val="24"/>
        </w:rPr>
      </w:pPr>
      <w:r>
        <w:rPr>
          <w:rFonts w:cs="Times New Roman" w:ascii="Times New Roman" w:hAnsi="Times New Roman"/>
          <w:i/>
          <w:sz w:val="24"/>
          <w:szCs w:val="24"/>
        </w:rPr>
        <w:t>Таблица №3</w:t>
      </w:r>
    </w:p>
    <w:tbl>
      <w:tblPr>
        <w:tblW w:w="9351" w:type="dxa"/>
        <w:jc w:val="left"/>
        <w:tblInd w:w="0" w:type="dxa"/>
        <w:tblCellMar>
          <w:top w:w="0" w:type="dxa"/>
          <w:left w:w="108" w:type="dxa"/>
          <w:bottom w:w="0" w:type="dxa"/>
          <w:right w:w="108" w:type="dxa"/>
        </w:tblCellMar>
        <w:tblLook w:firstRow="1" w:noVBand="1" w:lastRow="0" w:firstColumn="1" w:lastColumn="0" w:noHBand="0" w:val="04a0"/>
      </w:tblPr>
      <w:tblGrid>
        <w:gridCol w:w="3538"/>
        <w:gridCol w:w="2125"/>
        <w:gridCol w:w="1560"/>
        <w:gridCol w:w="1"/>
        <w:gridCol w:w="2126"/>
      </w:tblGrid>
      <w:tr>
        <w:trPr>
          <w:trHeight w:val="1136"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120"/>
              <w:jc w:val="center"/>
              <w:rPr>
                <w:rFonts w:ascii="Times New Roman" w:hAnsi="Times New Roman" w:cs="Times New Roman"/>
                <w:b/>
                <w:b/>
                <w:i/>
                <w:i/>
                <w:sz w:val="24"/>
                <w:szCs w:val="24"/>
              </w:rPr>
            </w:pPr>
            <w:r>
              <w:rPr>
                <w:rFonts w:cs="Times New Roman" w:ascii="Times New Roman" w:hAnsi="Times New Roman"/>
                <w:b/>
                <w:i/>
                <w:sz w:val="24"/>
                <w:szCs w:val="24"/>
              </w:rPr>
              <w:t>Наименование</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120"/>
              <w:jc w:val="center"/>
              <w:rPr>
                <w:rFonts w:ascii="Times New Roman" w:hAnsi="Times New Roman" w:cs="Times New Roman"/>
                <w:b/>
                <w:b/>
                <w:i/>
                <w:i/>
                <w:sz w:val="24"/>
                <w:szCs w:val="24"/>
              </w:rPr>
            </w:pPr>
            <w:r>
              <w:rPr>
                <w:rFonts w:cs="Times New Roman" w:ascii="Times New Roman" w:hAnsi="Times New Roman"/>
                <w:b/>
                <w:i/>
                <w:sz w:val="24"/>
                <w:szCs w:val="24"/>
              </w:rPr>
              <w:t>Всего предусмотренно по подпрограмме</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120"/>
              <w:jc w:val="center"/>
              <w:rPr>
                <w:rFonts w:ascii="Times New Roman" w:hAnsi="Times New Roman" w:cs="Times New Roman"/>
                <w:b/>
                <w:b/>
                <w:sz w:val="24"/>
                <w:szCs w:val="24"/>
              </w:rPr>
            </w:pPr>
            <w:r>
              <w:rPr>
                <w:rFonts w:cs="Times New Roman" w:ascii="Times New Roman" w:hAnsi="Times New Roman"/>
                <w:b/>
                <w:sz w:val="24"/>
                <w:szCs w:val="24"/>
              </w:rPr>
              <w:t>Краевой Бюджет</w:t>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Исполненно в 2017 году</w:t>
            </w:r>
          </w:p>
        </w:tc>
      </w:tr>
      <w:tr>
        <w:trPr/>
        <w:tc>
          <w:tcPr>
            <w:tcW w:w="722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120"/>
              <w:jc w:val="center"/>
              <w:rPr>
                <w:rFonts w:ascii="Times New Roman" w:hAnsi="Times New Roman" w:cs="Times New Roman"/>
                <w:b/>
                <w:b/>
                <w:sz w:val="24"/>
                <w:szCs w:val="24"/>
              </w:rPr>
            </w:pPr>
            <w:r>
              <w:rPr>
                <w:rFonts w:cs="Times New Roman" w:ascii="Times New Roman" w:hAnsi="Times New Roman"/>
                <w:b/>
                <w:sz w:val="24"/>
                <w:szCs w:val="24"/>
              </w:rPr>
              <w:t>МБУДО «ДШИ № 1» города Канска</w:t>
            </w:r>
          </w:p>
        </w:tc>
        <w:tc>
          <w:tcPr>
            <w:tcW w:w="212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20"/>
              <w:jc w:val="center"/>
              <w:rPr>
                <w:rFonts w:ascii="Times New Roman" w:hAnsi="Times New Roman" w:cs="Times New Roman"/>
                <w:b/>
                <w:b/>
                <w:sz w:val="24"/>
                <w:szCs w:val="24"/>
              </w:rPr>
            </w:pPr>
            <w:r>
              <w:rPr>
                <w:rFonts w:cs="Times New Roman" w:ascii="Times New Roman" w:hAnsi="Times New Roman"/>
                <w:b/>
                <w:sz w:val="24"/>
                <w:szCs w:val="24"/>
              </w:rPr>
            </w:r>
          </w:p>
        </w:tc>
      </w:tr>
      <w:tr>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Всего по подпрограмме в тыс. руб.</w:t>
            </w:r>
          </w:p>
          <w:p>
            <w:pPr>
              <w:pStyle w:val="Normal"/>
              <w:spacing w:lineRule="auto" w:line="240" w:before="0" w:after="0"/>
              <w:jc w:val="center"/>
              <w:rPr>
                <w:rFonts w:ascii="Times New Roman" w:hAnsi="Times New Roman" w:cs="Times New Roman"/>
                <w:i/>
                <w:i/>
              </w:rPr>
            </w:pPr>
            <w:r>
              <w:rPr>
                <w:rFonts w:cs="Times New Roman" w:ascii="Times New Roman" w:hAnsi="Times New Roman"/>
              </w:rPr>
              <w:t>(укрепление материально-технической базы муниципальных домов культуры (приобретение оборудования)</w:t>
            </w:r>
            <w:r>
              <w:rPr>
                <w:rFonts w:cs="Times New Roman" w:ascii="Times New Roman" w:hAnsi="Times New Roman"/>
                <w:lang w:eastAsia="en-US"/>
              </w:rPr>
              <w:t xml:space="preserve"> в том числе:</w:t>
            </w:r>
          </w:p>
        </w:tc>
        <w:tc>
          <w:tcPr>
            <w:tcW w:w="21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316 446,10</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316 446,10</w:t>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316 446,10</w:t>
            </w:r>
          </w:p>
        </w:tc>
      </w:tr>
      <w:tr>
        <w:trPr>
          <w:trHeight w:val="409" w:hRule="atLeast"/>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компьютерный комплекс в сборе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экран на штативе </w:t>
            </w:r>
            <w:r>
              <w:rPr>
                <w:rFonts w:cs="Times New Roman" w:ascii="Times New Roman" w:hAnsi="Times New Roman"/>
                <w:sz w:val="24"/>
                <w:szCs w:val="24"/>
                <w:lang w:val="en-US"/>
              </w:rPr>
              <w:t>Lumien</w:t>
            </w:r>
            <w:r>
              <w:rPr>
                <w:rFonts w:cs="Times New Roman" w:ascii="Times New Roman" w:hAnsi="Times New Roman"/>
                <w:sz w:val="24"/>
                <w:szCs w:val="24"/>
              </w:rPr>
              <w:t xml:space="preserve"> </w:t>
            </w:r>
            <w:r>
              <w:rPr>
                <w:rFonts w:cs="Times New Roman" w:ascii="Times New Roman" w:hAnsi="Times New Roman"/>
                <w:sz w:val="24"/>
                <w:szCs w:val="24"/>
                <w:lang w:val="en-US"/>
              </w:rPr>
              <w:t>c</w:t>
            </w:r>
            <w:r>
              <w:rPr>
                <w:rFonts w:cs="Times New Roman" w:ascii="Times New Roman" w:hAnsi="Times New Roman"/>
                <w:sz w:val="24"/>
                <w:szCs w:val="24"/>
              </w:rPr>
              <w:t xml:space="preserve"> возможностью настенного крепления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экран на штативе </w:t>
            </w:r>
            <w:r>
              <w:rPr>
                <w:rFonts w:cs="Times New Roman" w:ascii="Times New Roman" w:hAnsi="Times New Roman"/>
                <w:sz w:val="24"/>
                <w:szCs w:val="24"/>
                <w:lang w:val="en-US"/>
              </w:rPr>
              <w:t>ScreenMedif</w:t>
            </w:r>
            <w:r>
              <w:rPr>
                <w:rFonts w:cs="Times New Roman" w:ascii="Times New Roman" w:hAnsi="Times New Roman"/>
                <w:sz w:val="24"/>
                <w:szCs w:val="24"/>
              </w:rPr>
              <w:t xml:space="preserve"> </w:t>
            </w:r>
            <w:r>
              <w:rPr>
                <w:rFonts w:cs="Times New Roman" w:ascii="Times New Roman" w:hAnsi="Times New Roman"/>
                <w:sz w:val="24"/>
                <w:szCs w:val="24"/>
                <w:lang w:val="en-US"/>
              </w:rPr>
              <w:t>Apollo</w:t>
            </w:r>
            <w:r>
              <w:rPr>
                <w:rFonts w:cs="Times New Roman" w:ascii="Times New Roman" w:hAnsi="Times New Roman"/>
                <w:sz w:val="24"/>
                <w:szCs w:val="24"/>
              </w:rPr>
              <w:t xml:space="preserve">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ультрапортативный проектор </w:t>
            </w:r>
            <w:r>
              <w:rPr>
                <w:rFonts w:cs="Times New Roman" w:ascii="Times New Roman" w:hAnsi="Times New Roman"/>
                <w:sz w:val="24"/>
                <w:szCs w:val="24"/>
                <w:lang w:val="en-US"/>
              </w:rPr>
              <w:t>Acer</w:t>
            </w:r>
            <w:r>
              <w:rPr>
                <w:rFonts w:cs="Times New Roman" w:ascii="Times New Roman" w:hAnsi="Times New Roman"/>
                <w:sz w:val="24"/>
                <w:szCs w:val="24"/>
              </w:rPr>
              <w:t xml:space="preserve"> 1 шт</w:t>
            </w:r>
            <w:r>
              <w:rPr>
                <w:rFonts w:cs="Times New Roman" w:ascii="Times New Roman" w:hAnsi="Times New Roman"/>
                <w:color w:val="C0504D"/>
                <w:sz w:val="24"/>
                <w:szCs w:val="24"/>
              </w:rPr>
              <w:t xml:space="preserve"> </w:t>
            </w:r>
            <w:r>
              <w:rPr>
                <w:rFonts w:cs="Times New Roman" w:ascii="Times New Roman" w:hAnsi="Times New Roman"/>
                <w:sz w:val="24"/>
                <w:szCs w:val="24"/>
              </w:rPr>
              <w:t xml:space="preserve">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color w:val="C0504D"/>
                <w:sz w:val="24"/>
                <w:szCs w:val="24"/>
              </w:rPr>
            </w:pPr>
            <w:r>
              <w:rPr>
                <w:rFonts w:cs="Times New Roman" w:ascii="Times New Roman" w:hAnsi="Times New Roman"/>
                <w:sz w:val="24"/>
                <w:szCs w:val="24"/>
              </w:rPr>
              <w:t xml:space="preserve">проектор </w:t>
            </w:r>
            <w:r>
              <w:rPr>
                <w:rFonts w:cs="Times New Roman" w:ascii="Times New Roman" w:hAnsi="Times New Roman"/>
                <w:sz w:val="24"/>
                <w:szCs w:val="24"/>
                <w:lang w:val="en-US"/>
              </w:rPr>
              <w:t>EPSON</w:t>
            </w:r>
            <w:r>
              <w:rPr>
                <w:rFonts w:cs="Times New Roman" w:ascii="Times New Roman" w:hAnsi="Times New Roman"/>
                <w:sz w:val="24"/>
                <w:szCs w:val="24"/>
              </w:rPr>
              <w:t xml:space="preserve">   1 шт </w:t>
            </w:r>
          </w:p>
          <w:p>
            <w:pPr>
              <w:pStyle w:val="Normal"/>
              <w:spacing w:lineRule="auto" w:line="240" w:before="0" w:after="0"/>
              <w:rPr>
                <w:rFonts w:ascii="Times New Roman" w:hAnsi="Times New Roman" w:cs="Times New Roman"/>
                <w:color w:val="C0504D"/>
                <w:sz w:val="24"/>
                <w:szCs w:val="24"/>
              </w:rPr>
            </w:pPr>
            <w:r>
              <w:rPr>
                <w:rFonts w:cs="Times New Roman" w:ascii="Times New Roman" w:hAnsi="Times New Roman"/>
                <w:color w:val="C0504D"/>
                <w:sz w:val="24"/>
                <w:szCs w:val="24"/>
              </w:rPr>
              <w:t xml:space="preserve"> </w:t>
            </w:r>
          </w:p>
          <w:p>
            <w:pPr>
              <w:pStyle w:val="Normal"/>
              <w:spacing w:lineRule="auto" w:line="240" w:before="0" w:after="0"/>
              <w:rPr>
                <w:rFonts w:ascii="Times New Roman" w:hAnsi="Times New Roman" w:cs="Times New Roman"/>
                <w:b/>
                <w:b/>
                <w:sz w:val="24"/>
                <w:szCs w:val="24"/>
              </w:rPr>
            </w:pPr>
            <w:r>
              <w:rPr>
                <w:rFonts w:cs="Times New Roman" w:ascii="Times New Roman" w:hAnsi="Times New Roman"/>
                <w:sz w:val="24"/>
                <w:szCs w:val="24"/>
              </w:rPr>
              <w:t xml:space="preserve">ноутбук </w:t>
            </w:r>
            <w:r>
              <w:rPr>
                <w:rFonts w:cs="Times New Roman" w:ascii="Times New Roman" w:hAnsi="Times New Roman"/>
                <w:sz w:val="24"/>
                <w:szCs w:val="24"/>
                <w:lang w:val="en-US"/>
              </w:rPr>
              <w:t>Lenowo</w:t>
            </w:r>
            <w:r>
              <w:rPr>
                <w:rFonts w:cs="Times New Roman" w:ascii="Times New Roman" w:hAnsi="Times New Roman"/>
                <w:sz w:val="24"/>
                <w:szCs w:val="24"/>
              </w:rPr>
              <w:t xml:space="preserve"> 2 шт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rPr>
                <w:rFonts w:ascii="Times New Roman" w:hAnsi="Times New Roman" w:cs="Times New Roman"/>
                <w:color w:val="C0504D"/>
                <w:sz w:val="24"/>
                <w:szCs w:val="24"/>
              </w:rPr>
            </w:pPr>
            <w:r>
              <w:rPr>
                <w:rFonts w:cs="Times New Roman" w:ascii="Times New Roman" w:hAnsi="Times New Roman"/>
                <w:sz w:val="24"/>
                <w:szCs w:val="24"/>
              </w:rPr>
              <w:t xml:space="preserve">компактная камера </w:t>
            </w:r>
            <w:r>
              <w:rPr>
                <w:rFonts w:cs="Times New Roman" w:ascii="Times New Roman" w:hAnsi="Times New Roman"/>
                <w:sz w:val="24"/>
                <w:szCs w:val="24"/>
                <w:lang w:val="en-US"/>
              </w:rPr>
              <w:t>Kodak</w:t>
            </w:r>
            <w:r>
              <w:rPr>
                <w:rFonts w:cs="Times New Roman" w:ascii="Times New Roman" w:hAnsi="Times New Roman"/>
                <w:sz w:val="24"/>
                <w:szCs w:val="24"/>
              </w:rPr>
              <w:t xml:space="preserve"> 1 шт</w:t>
            </w:r>
            <w:r>
              <w:rPr>
                <w:rFonts w:cs="Times New Roman" w:ascii="Times New Roman" w:hAnsi="Times New Roman"/>
                <w:color w:val="C0504D"/>
                <w:sz w:val="24"/>
                <w:szCs w:val="24"/>
              </w:rPr>
              <w:t xml:space="preserve">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ФУ</w:t>
            </w:r>
            <w:r>
              <w:rPr>
                <w:rFonts w:cs="Times New Roman" w:ascii="Times New Roman" w:hAnsi="Times New Roman"/>
                <w:sz w:val="24"/>
                <w:szCs w:val="24"/>
                <w:lang w:val="en-US"/>
              </w:rPr>
              <w:t xml:space="preserve"> Brother DCP-L2500DR 1 </w:t>
            </w:r>
            <w:r>
              <w:rPr>
                <w:rFonts w:cs="Times New Roman" w:ascii="Times New Roman" w:hAnsi="Times New Roman"/>
                <w:sz w:val="24"/>
                <w:szCs w:val="24"/>
              </w:rPr>
              <w:t>шт</w:t>
            </w:r>
            <w:r>
              <w:rPr>
                <w:rFonts w:cs="Times New Roman" w:ascii="Times New Roman" w:hAnsi="Times New Roman"/>
                <w:sz w:val="24"/>
                <w:szCs w:val="24"/>
                <w:lang w:val="en-US"/>
              </w:rPr>
              <w:t xml:space="preserve">  </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color w:val="C0504D"/>
                <w:sz w:val="24"/>
                <w:szCs w:val="24"/>
                <w:lang w:val="en-US"/>
              </w:rPr>
            </w:pPr>
            <w:r>
              <w:rPr>
                <w:rFonts w:cs="Times New Roman" w:ascii="Times New Roman" w:hAnsi="Times New Roman"/>
                <w:sz w:val="24"/>
                <w:szCs w:val="24"/>
              </w:rPr>
              <w:t>МФУ</w:t>
            </w:r>
            <w:r>
              <w:rPr>
                <w:rFonts w:cs="Times New Roman" w:ascii="Times New Roman" w:hAnsi="Times New Roman"/>
                <w:sz w:val="24"/>
                <w:szCs w:val="24"/>
                <w:lang w:val="en-US"/>
              </w:rPr>
              <w:t xml:space="preserve"> Brother DCP-1510R 1 </w:t>
            </w:r>
            <w:r>
              <w:rPr>
                <w:rFonts w:cs="Times New Roman" w:ascii="Times New Roman" w:hAnsi="Times New Roman"/>
                <w:sz w:val="24"/>
                <w:szCs w:val="24"/>
              </w:rPr>
              <w:t>шт</w:t>
            </w:r>
            <w:r>
              <w:rPr>
                <w:rFonts w:cs="Times New Roman" w:ascii="Times New Roman" w:hAnsi="Times New Roman"/>
                <w:color w:val="C0504D"/>
                <w:sz w:val="24"/>
                <w:szCs w:val="24"/>
                <w:lang w:val="en-US"/>
              </w:rPr>
              <w:t xml:space="preserve">     </w:t>
            </w:r>
          </w:p>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МФУ </w:t>
            </w:r>
            <w:r>
              <w:rPr>
                <w:rFonts w:cs="Times New Roman" w:ascii="Times New Roman" w:hAnsi="Times New Roman"/>
                <w:sz w:val="24"/>
                <w:szCs w:val="24"/>
                <w:lang w:val="en-US"/>
              </w:rPr>
              <w:t>HP</w:t>
            </w:r>
            <w:r>
              <w:rPr>
                <w:rFonts w:cs="Times New Roman" w:ascii="Times New Roman" w:hAnsi="Times New Roman"/>
                <w:sz w:val="24"/>
                <w:szCs w:val="24"/>
              </w:rPr>
              <w:t xml:space="preserve"> </w:t>
            </w:r>
            <w:r>
              <w:rPr>
                <w:rFonts w:cs="Times New Roman" w:ascii="Times New Roman" w:hAnsi="Times New Roman"/>
                <w:sz w:val="24"/>
                <w:szCs w:val="24"/>
                <w:lang w:val="en-US"/>
              </w:rPr>
              <w:t>Laser</w:t>
            </w:r>
            <w:r>
              <w:rPr>
                <w:rFonts w:cs="Times New Roman" w:ascii="Times New Roman" w:hAnsi="Times New Roman"/>
                <w:sz w:val="24"/>
                <w:szCs w:val="24"/>
              </w:rPr>
              <w:t xml:space="preserve"> </w:t>
            </w:r>
            <w:r>
              <w:rPr>
                <w:rFonts w:cs="Times New Roman" w:ascii="Times New Roman" w:hAnsi="Times New Roman"/>
                <w:sz w:val="24"/>
                <w:szCs w:val="24"/>
                <w:lang w:val="en-US"/>
              </w:rPr>
              <w:t>Jen</w:t>
            </w:r>
            <w:r>
              <w:rPr>
                <w:rFonts w:cs="Times New Roman" w:ascii="Times New Roman" w:hAnsi="Times New Roman"/>
                <w:sz w:val="24"/>
                <w:szCs w:val="24"/>
              </w:rPr>
              <w:t xml:space="preserve">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 xml:space="preserve">двухканальная радиосистема с двумя ручными передатчиками 1 комплект  </w:t>
            </w:r>
          </w:p>
          <w:p>
            <w:pPr>
              <w:pStyle w:val="Normal"/>
              <w:widowControl/>
              <w:bidi w:val="0"/>
              <w:spacing w:lineRule="auto" w:line="276" w:before="0" w:after="200"/>
              <w:jc w:val="left"/>
              <w:rPr>
                <w:rFonts w:ascii="Times New Roman" w:hAnsi="Times New Roman" w:cs="Times New Roman"/>
                <w:b/>
                <w:b/>
                <w:sz w:val="24"/>
                <w:szCs w:val="24"/>
              </w:rPr>
            </w:pPr>
            <w:r>
              <w:rPr>
                <w:rFonts w:cs="Times New Roman" w:ascii="Times New Roman" w:hAnsi="Times New Roman"/>
                <w:sz w:val="24"/>
                <w:szCs w:val="24"/>
              </w:rPr>
              <w:t>радиосистема двух антенная с двумя головными микрофонами 3 шт</w:t>
            </w:r>
            <w:r>
              <w:rPr>
                <w:rFonts w:cs="Times New Roman" w:ascii="Times New Roman" w:hAnsi="Times New Roman"/>
                <w:color w:val="C0504D"/>
                <w:sz w:val="24"/>
                <w:szCs w:val="24"/>
              </w:rPr>
              <w:t xml:space="preserve">  </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49756,10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4 999,00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58 998,00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10 299,00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17 499,00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59 430,00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25 470,00</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49756,10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4 999,00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58 998,00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10 299,00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17 499,00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59 430,00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25 470,00</w:t>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49756,10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4 999,00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58 998,00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10 299,00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17 499,00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59 430,00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25 470,00</w:t>
            </w:r>
          </w:p>
        </w:tc>
      </w:tr>
      <w:tr>
        <w:trPr/>
        <w:tc>
          <w:tcPr>
            <w:tcW w:w="722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b/>
                <w:sz w:val="24"/>
                <w:szCs w:val="24"/>
              </w:rPr>
              <w:t>МБУДО «ДМШ № 2» города Канска</w:t>
            </w:r>
          </w:p>
        </w:tc>
        <w:tc>
          <w:tcPr>
            <w:tcW w:w="212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s="Times New Roman"/>
                <w:b/>
                <w:b/>
                <w:sz w:val="24"/>
                <w:szCs w:val="24"/>
              </w:rPr>
            </w:pPr>
            <w:r>
              <w:rPr>
                <w:rFonts w:cs="Times New Roman" w:ascii="Times New Roman" w:hAnsi="Times New Roman"/>
                <w:b/>
                <w:sz w:val="24"/>
                <w:szCs w:val="24"/>
              </w:rPr>
            </w:r>
          </w:p>
        </w:tc>
      </w:tr>
      <w:tr>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Всего по подпрограмме в тыс. руб.</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rPr>
              <w:t>(укрепление материально-технической базы муниципальных домов культуры (приобретение оборудования)</w:t>
            </w:r>
            <w:r>
              <w:rPr>
                <w:rFonts w:cs="Times New Roman" w:ascii="Times New Roman" w:hAnsi="Times New Roman"/>
                <w:lang w:eastAsia="en-US"/>
              </w:rPr>
              <w:t xml:space="preserve"> в том числе:</w:t>
            </w:r>
          </w:p>
        </w:tc>
        <w:tc>
          <w:tcPr>
            <w:tcW w:w="21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t>272 826,00</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t>272 826,00</w:t>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t>272 826,00</w:t>
            </w:r>
          </w:p>
        </w:tc>
      </w:tr>
      <w:tr>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компьютер в сборе  2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принтер </w:t>
            </w:r>
            <w:r>
              <w:rPr>
                <w:rFonts w:cs="Times New Roman" w:ascii="Times New Roman" w:hAnsi="Times New Roman"/>
                <w:sz w:val="24"/>
                <w:szCs w:val="24"/>
                <w:lang w:val="en-US"/>
              </w:rPr>
              <w:t>HP</w:t>
            </w:r>
            <w:r>
              <w:rPr>
                <w:rFonts w:cs="Times New Roman" w:ascii="Times New Roman" w:hAnsi="Times New Roman"/>
                <w:sz w:val="24"/>
                <w:szCs w:val="24"/>
              </w:rPr>
              <w:t xml:space="preserve"> </w:t>
            </w:r>
            <w:r>
              <w:rPr>
                <w:rFonts w:cs="Times New Roman" w:ascii="Times New Roman" w:hAnsi="Times New Roman"/>
                <w:sz w:val="24"/>
                <w:szCs w:val="24"/>
                <w:lang w:val="en-US"/>
              </w:rPr>
              <w:t>LJ</w:t>
            </w:r>
            <w:r>
              <w:rPr>
                <w:rFonts w:cs="Times New Roman" w:ascii="Times New Roman" w:hAnsi="Times New Roman"/>
                <w:sz w:val="24"/>
                <w:szCs w:val="24"/>
              </w:rPr>
              <w:t xml:space="preserve">  1 шт;   </w:t>
            </w:r>
          </w:p>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принтер  </w:t>
            </w:r>
            <w:r>
              <w:rPr>
                <w:rFonts w:cs="Times New Roman" w:ascii="Times New Roman" w:hAnsi="Times New Roman"/>
                <w:sz w:val="24"/>
                <w:szCs w:val="24"/>
                <w:lang w:val="en-US"/>
              </w:rPr>
              <w:t>Brother</w:t>
            </w:r>
            <w:r>
              <w:rPr>
                <w:rFonts w:cs="Times New Roman" w:ascii="Times New Roman" w:hAnsi="Times New Roman"/>
                <w:sz w:val="24"/>
                <w:szCs w:val="24"/>
              </w:rPr>
              <w:t xml:space="preserve"> Н</w:t>
            </w:r>
            <w:r>
              <w:rPr>
                <w:rFonts w:cs="Times New Roman" w:ascii="Times New Roman" w:hAnsi="Times New Roman"/>
                <w:sz w:val="24"/>
                <w:szCs w:val="24"/>
                <w:lang w:val="en-US"/>
              </w:rPr>
              <w:t>L</w:t>
            </w:r>
            <w:r>
              <w:rPr>
                <w:rFonts w:cs="Times New Roman" w:ascii="Times New Roman" w:hAnsi="Times New Roman"/>
                <w:sz w:val="24"/>
                <w:szCs w:val="24"/>
              </w:rPr>
              <w:t xml:space="preserve"> 2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телевизор </w:t>
            </w:r>
            <w:r>
              <w:rPr>
                <w:rFonts w:cs="Times New Roman" w:ascii="Times New Roman" w:hAnsi="Times New Roman"/>
                <w:sz w:val="24"/>
                <w:szCs w:val="24"/>
                <w:lang w:val="en-US"/>
              </w:rPr>
              <w:t>LED</w:t>
            </w:r>
            <w:r>
              <w:rPr>
                <w:rFonts w:cs="Times New Roman" w:ascii="Times New Roman" w:hAnsi="Times New Roman"/>
                <w:sz w:val="24"/>
                <w:szCs w:val="24"/>
              </w:rPr>
              <w:t xml:space="preserve"> 32 (81 см) 1 шт  </w:t>
            </w:r>
          </w:p>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телевизор </w:t>
            </w:r>
            <w:r>
              <w:rPr>
                <w:rFonts w:cs="Times New Roman" w:ascii="Times New Roman" w:hAnsi="Times New Roman"/>
                <w:sz w:val="24"/>
                <w:szCs w:val="24"/>
                <w:lang w:val="en-US"/>
              </w:rPr>
              <w:t>LED</w:t>
            </w:r>
            <w:r>
              <w:rPr>
                <w:rFonts w:cs="Times New Roman" w:ascii="Times New Roman" w:hAnsi="Times New Roman"/>
                <w:sz w:val="24"/>
                <w:szCs w:val="24"/>
              </w:rPr>
              <w:t xml:space="preserve"> 49 (124 см)1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кронштейн для телевизора 2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проектор </w:t>
            </w:r>
            <w:r>
              <w:rPr>
                <w:rFonts w:cs="Times New Roman" w:ascii="Times New Roman" w:hAnsi="Times New Roman"/>
                <w:sz w:val="24"/>
                <w:szCs w:val="24"/>
                <w:lang w:val="en-US"/>
              </w:rPr>
              <w:t>ViewSonik</w:t>
            </w:r>
            <w:r>
              <w:rPr>
                <w:rFonts w:cs="Times New Roman" w:ascii="Times New Roman" w:hAnsi="Times New Roman"/>
                <w:sz w:val="24"/>
                <w:szCs w:val="24"/>
              </w:rPr>
              <w:t xml:space="preserve">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экран на штативе </w:t>
            </w:r>
            <w:r>
              <w:rPr>
                <w:rFonts w:cs="Times New Roman" w:ascii="Times New Roman" w:hAnsi="Times New Roman"/>
                <w:sz w:val="24"/>
                <w:szCs w:val="24"/>
                <w:lang w:val="en-US"/>
              </w:rPr>
              <w:t>ScreenMedif</w:t>
            </w:r>
            <w:r>
              <w:rPr>
                <w:rFonts w:cs="Times New Roman" w:ascii="Times New Roman" w:hAnsi="Times New Roman"/>
                <w:sz w:val="24"/>
                <w:szCs w:val="24"/>
              </w:rPr>
              <w:t xml:space="preserve"> </w:t>
            </w:r>
            <w:r>
              <w:rPr>
                <w:rFonts w:cs="Times New Roman" w:ascii="Times New Roman" w:hAnsi="Times New Roman"/>
                <w:sz w:val="24"/>
                <w:szCs w:val="24"/>
                <w:lang w:val="en-US"/>
              </w:rPr>
              <w:t>Apollo</w:t>
            </w:r>
            <w:r>
              <w:rPr>
                <w:rFonts w:cs="Times New Roman" w:ascii="Times New Roman" w:hAnsi="Times New Roman"/>
                <w:sz w:val="24"/>
                <w:szCs w:val="24"/>
              </w:rPr>
              <w:t xml:space="preserve">  1 шт </w:t>
            </w:r>
          </w:p>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b/>
                <w:sz w:val="24"/>
                <w:szCs w:val="24"/>
              </w:rPr>
            </w:pPr>
            <w:r>
              <w:rPr>
                <w:rFonts w:cs="Times New Roman" w:ascii="Times New Roman" w:hAnsi="Times New Roman"/>
                <w:sz w:val="24"/>
                <w:szCs w:val="24"/>
              </w:rPr>
              <w:t xml:space="preserve">ноутбук </w:t>
            </w:r>
            <w:r>
              <w:rPr>
                <w:rFonts w:cs="Times New Roman" w:ascii="Times New Roman" w:hAnsi="Times New Roman"/>
                <w:sz w:val="24"/>
                <w:szCs w:val="24"/>
                <w:lang w:val="en-US"/>
              </w:rPr>
              <w:t>Lenowo</w:t>
            </w:r>
            <w:r>
              <w:rPr>
                <w:rFonts w:cs="Times New Roman" w:ascii="Times New Roman" w:hAnsi="Times New Roman"/>
                <w:sz w:val="24"/>
                <w:szCs w:val="24"/>
              </w:rPr>
              <w:t xml:space="preserve">       2 шт </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81 080,00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15 800,00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15 780,00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18499,00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49 299,00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4 998,00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27 100,00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4 870,00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55 400,00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81 080,00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15 800,00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15 780,00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18499,00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49 299,00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4 998,00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27 100,00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4 870,00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55 400,00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81 080,00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15 800,00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15 780,00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18499,00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49 299,00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4 998,00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27 100,00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4 870,00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55 400,00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935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b/>
                <w:b/>
                <w:sz w:val="24"/>
                <w:szCs w:val="24"/>
              </w:rPr>
            </w:pPr>
            <w:r>
              <w:rPr>
                <w:rFonts w:cs="Times New Roman" w:ascii="Times New Roman" w:hAnsi="Times New Roman"/>
                <w:b/>
                <w:sz w:val="24"/>
                <w:szCs w:val="24"/>
              </w:rPr>
              <w:t>ГДК  города Канска</w:t>
            </w:r>
          </w:p>
        </w:tc>
      </w:tr>
      <w:tr>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Всего по подпрограмме в тыс. руб.</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rPr>
              <w:t>(укрепление материально-технической базы муниципальных домов культуры (приобретение оборудования)</w:t>
            </w:r>
            <w:r>
              <w:rPr>
                <w:rFonts w:cs="Times New Roman" w:ascii="Times New Roman" w:hAnsi="Times New Roman"/>
                <w:lang w:eastAsia="en-US"/>
              </w:rPr>
              <w:t xml:space="preserve"> в том числе:</w:t>
            </w:r>
          </w:p>
        </w:tc>
        <w:tc>
          <w:tcPr>
            <w:tcW w:w="21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t>672 838,00</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12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t>672 838,00</w:t>
            </w:r>
          </w:p>
          <w:p>
            <w:pPr>
              <w:pStyle w:val="Normal"/>
              <w:spacing w:before="0" w:after="120"/>
              <w:jc w:val="center"/>
              <w:rPr>
                <w:rFonts w:ascii="Times New Roman" w:hAnsi="Times New Roman" w:cs="Times New Roman"/>
                <w:b/>
                <w:b/>
                <w:sz w:val="24"/>
                <w:szCs w:val="24"/>
              </w:rPr>
            </w:pPr>
            <w:r>
              <w:rPr>
                <w:rFonts w:cs="Times New Roman" w:ascii="Times New Roman" w:hAnsi="Times New Roman"/>
                <w:b/>
                <w:sz w:val="24"/>
                <w:szCs w:val="24"/>
              </w:rPr>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t>672 838,00</w:t>
            </w:r>
          </w:p>
        </w:tc>
      </w:tr>
      <w:tr>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светодиодный прожектор                  ( комплект из 10 штук)</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системный блок </w:t>
            </w:r>
            <w:r>
              <w:rPr>
                <w:rFonts w:cs="Times New Roman" w:ascii="Times New Roman" w:hAnsi="Times New Roman"/>
                <w:sz w:val="24"/>
                <w:szCs w:val="24"/>
                <w:lang w:val="en-US"/>
              </w:rPr>
              <w:t>DEXP</w:t>
            </w:r>
            <w:r>
              <w:rPr>
                <w:rFonts w:cs="Times New Roman" w:ascii="Times New Roman" w:hAnsi="Times New Roman"/>
                <w:sz w:val="24"/>
                <w:szCs w:val="24"/>
              </w:rPr>
              <w:t xml:space="preserve"> </w:t>
            </w:r>
            <w:r>
              <w:rPr>
                <w:rFonts w:cs="Times New Roman" w:ascii="Times New Roman" w:hAnsi="Times New Roman"/>
                <w:sz w:val="24"/>
                <w:szCs w:val="24"/>
                <w:lang w:val="en-US"/>
              </w:rPr>
              <w:t>Mars</w:t>
            </w:r>
            <w:r>
              <w:rPr>
                <w:rFonts w:cs="Times New Roman" w:ascii="Times New Roman" w:hAnsi="Times New Roman"/>
                <w:sz w:val="24"/>
                <w:szCs w:val="24"/>
              </w:rPr>
              <w:t xml:space="preserve"> </w:t>
            </w:r>
            <w:r>
              <w:rPr>
                <w:rFonts w:cs="Times New Roman" w:ascii="Times New Roman" w:hAnsi="Times New Roman"/>
                <w:sz w:val="24"/>
                <w:szCs w:val="24"/>
                <w:lang w:val="en-US"/>
              </w:rPr>
              <w:t>E</w:t>
            </w:r>
            <w:r>
              <w:rPr>
                <w:rFonts w:cs="Times New Roman" w:ascii="Times New Roman" w:hAnsi="Times New Roman"/>
                <w:sz w:val="24"/>
                <w:szCs w:val="24"/>
              </w:rPr>
              <w:t xml:space="preserve">141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ноутбук </w:t>
            </w:r>
            <w:r>
              <w:rPr>
                <w:rFonts w:cs="Times New Roman" w:ascii="Times New Roman" w:hAnsi="Times New Roman"/>
                <w:sz w:val="24"/>
                <w:szCs w:val="24"/>
                <w:lang w:val="en-US"/>
              </w:rPr>
              <w:t>HP</w:t>
            </w:r>
            <w:r>
              <w:rPr>
                <w:rFonts w:cs="Times New Roman" w:ascii="Times New Roman" w:hAnsi="Times New Roman"/>
                <w:sz w:val="24"/>
                <w:szCs w:val="24"/>
              </w:rPr>
              <w:t xml:space="preserve"> 17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ноутбук-трансформер  </w:t>
            </w:r>
            <w:r>
              <w:rPr>
                <w:rFonts w:cs="Times New Roman" w:ascii="Times New Roman" w:hAnsi="Times New Roman"/>
                <w:sz w:val="24"/>
                <w:szCs w:val="24"/>
                <w:lang w:val="en-US"/>
              </w:rPr>
              <w:t>HP</w:t>
            </w:r>
            <w:r>
              <w:rPr>
                <w:rFonts w:cs="Times New Roman" w:ascii="Times New Roman" w:hAnsi="Times New Roman"/>
                <w:sz w:val="24"/>
                <w:szCs w:val="24"/>
              </w:rPr>
              <w:t xml:space="preserve">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компьютерный  комплекс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МФУ </w:t>
            </w:r>
            <w:r>
              <w:rPr>
                <w:rFonts w:cs="Times New Roman" w:ascii="Times New Roman" w:hAnsi="Times New Roman"/>
                <w:sz w:val="24"/>
                <w:szCs w:val="24"/>
                <w:lang w:val="en-US"/>
              </w:rPr>
              <w:t>KYOCERA</w:t>
            </w:r>
            <w:r>
              <w:rPr>
                <w:rFonts w:cs="Times New Roman" w:ascii="Times New Roman" w:hAnsi="Times New Roman"/>
                <w:sz w:val="24"/>
                <w:szCs w:val="24"/>
              </w:rPr>
              <w:t xml:space="preserve">     1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акустическая система  2 шт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ручная радиосистема с ручным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динамическим микрофоном             1 комплект </w:t>
            </w:r>
          </w:p>
          <w:p>
            <w:pPr>
              <w:pStyle w:val="Normal"/>
              <w:spacing w:lineRule="auto" w:line="240" w:before="0" w:after="0"/>
              <w:rPr>
                <w:rFonts w:ascii="Times New Roman" w:hAnsi="Times New Roman" w:cs="Times New Roman"/>
                <w:b/>
                <w:b/>
                <w:sz w:val="24"/>
                <w:szCs w:val="24"/>
              </w:rPr>
            </w:pPr>
            <w:r>
              <w:rPr>
                <w:rFonts w:cs="Times New Roman" w:ascii="Times New Roman" w:hAnsi="Times New Roman"/>
                <w:sz w:val="24"/>
                <w:szCs w:val="24"/>
              </w:rPr>
              <w:t xml:space="preserve">активный сабвуфер 500 Вт 2 шт  </w:t>
            </w:r>
          </w:p>
          <w:p>
            <w:pPr>
              <w:pStyle w:val="Normal"/>
              <w:spacing w:lineRule="auto" w:line="240" w:before="0" w:after="0"/>
              <w:rPr>
                <w:rFonts w:ascii="Times New Roman" w:hAnsi="Times New Roman" w:cs="Times New Roman"/>
                <w:b/>
                <w:b/>
                <w:sz w:val="24"/>
                <w:szCs w:val="24"/>
              </w:rPr>
            </w:pPr>
            <w:r>
              <w:rPr>
                <w:rFonts w:cs="Times New Roman" w:ascii="Times New Roman" w:hAnsi="Times New Roman"/>
                <w:b/>
                <w:sz w:val="24"/>
                <w:szCs w:val="24"/>
              </w:rPr>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298 000,00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69 9999,00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31 000,00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59 990,00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38 850,00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65 000,00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50 000,00</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298 000,00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69 9999,00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31 000,00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59 990,00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38 850,00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65 000,00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50 000,00</w:t>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298 000,00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69 9999,00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31 000,00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59 990,00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38 850,00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65 000,00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30 000,00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50 000,00</w:t>
            </w:r>
          </w:p>
        </w:tc>
      </w:tr>
      <w:tr>
        <w:trPr/>
        <w:tc>
          <w:tcPr>
            <w:tcW w:w="935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МБУК ККМ</w:t>
            </w:r>
          </w:p>
        </w:tc>
      </w:tr>
      <w:tr>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b/>
                <w:b/>
                <w:sz w:val="24"/>
                <w:szCs w:val="24"/>
                <w:lang w:eastAsia="en-US"/>
              </w:rPr>
            </w:pPr>
            <w:r>
              <w:rPr>
                <w:rFonts w:cs="Times New Roman" w:ascii="Times New Roman" w:hAnsi="Times New Roman"/>
                <w:b/>
                <w:sz w:val="24"/>
                <w:szCs w:val="24"/>
                <w:lang w:eastAsia="en-US"/>
              </w:rPr>
              <w:t>Всего по подпрограмме в тыс. руб.</w:t>
            </w:r>
          </w:p>
          <w:p>
            <w:pPr>
              <w:pStyle w:val="Normal"/>
              <w:spacing w:lineRule="auto" w:line="240" w:before="0" w:after="0"/>
              <w:rPr>
                <w:rFonts w:ascii="Times New Roman" w:hAnsi="Times New Roman" w:cs="Times New Roman"/>
                <w:sz w:val="24"/>
                <w:szCs w:val="24"/>
              </w:rPr>
            </w:pPr>
            <w:r>
              <w:rPr>
                <w:rFonts w:cs="Times New Roman" w:ascii="Times New Roman" w:hAnsi="Times New Roman"/>
                <w:lang w:eastAsia="en-US"/>
              </w:rPr>
              <w:t>(укрепление материально-технической базы муниципальных домов культуры (приобретение оборудования) в том числе:</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133 285,00</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133 285,00</w:t>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133 285,00</w:t>
            </w:r>
          </w:p>
        </w:tc>
      </w:tr>
      <w:tr>
        <w:trPr/>
        <w:tc>
          <w:tcPr>
            <w:tcW w:w="353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cs="Times New Roman"/>
                <w:sz w:val="24"/>
                <w:szCs w:val="24"/>
              </w:rPr>
            </w:pPr>
            <w:r>
              <w:rPr>
                <w:rFonts w:cs="Times New Roman" w:ascii="Times New Roman" w:hAnsi="Times New Roman"/>
                <w:sz w:val="24"/>
                <w:szCs w:val="24"/>
              </w:rPr>
              <w:t xml:space="preserve">компьютерный комплекс  1 шт         </w:t>
            </w:r>
          </w:p>
          <w:p>
            <w:pPr>
              <w:pStyle w:val="Normal"/>
              <w:rPr>
                <w:rFonts w:ascii="Times New Roman" w:hAnsi="Times New Roman" w:cs="Times New Roman"/>
                <w:sz w:val="24"/>
                <w:szCs w:val="24"/>
              </w:rPr>
            </w:pPr>
            <w:r>
              <w:rPr>
                <w:rFonts w:cs="Times New Roman" w:ascii="Times New Roman" w:hAnsi="Times New Roman"/>
                <w:sz w:val="24"/>
                <w:szCs w:val="24"/>
              </w:rPr>
              <w:t xml:space="preserve">ноутбук </w:t>
            </w:r>
            <w:r>
              <w:rPr>
                <w:rFonts w:cs="Times New Roman" w:ascii="Times New Roman" w:hAnsi="Times New Roman"/>
                <w:sz w:val="24"/>
                <w:szCs w:val="24"/>
                <w:lang w:val="en-US"/>
              </w:rPr>
              <w:t>LENOVO</w:t>
            </w:r>
            <w:r>
              <w:rPr>
                <w:rFonts w:cs="Times New Roman" w:ascii="Times New Roman" w:hAnsi="Times New Roman"/>
                <w:sz w:val="24"/>
                <w:szCs w:val="24"/>
              </w:rPr>
              <w:t xml:space="preserve">   1 шт </w:t>
            </w:r>
          </w:p>
          <w:p>
            <w:pPr>
              <w:pStyle w:val="Normal"/>
              <w:rPr>
                <w:rFonts w:ascii="Times New Roman" w:hAnsi="Times New Roman" w:cs="Times New Roman"/>
                <w:sz w:val="24"/>
                <w:szCs w:val="24"/>
              </w:rPr>
            </w:pPr>
            <w:r>
              <w:rPr>
                <w:rFonts w:cs="Times New Roman" w:ascii="Times New Roman" w:hAnsi="Times New Roman"/>
                <w:sz w:val="24"/>
                <w:szCs w:val="24"/>
              </w:rPr>
              <w:t xml:space="preserve">МФУ </w:t>
            </w:r>
            <w:r>
              <w:rPr>
                <w:rFonts w:cs="Times New Roman" w:ascii="Times New Roman" w:hAnsi="Times New Roman"/>
                <w:sz w:val="24"/>
                <w:szCs w:val="24"/>
                <w:lang w:val="en-US"/>
              </w:rPr>
              <w:t>HP</w:t>
            </w:r>
            <w:r>
              <w:rPr>
                <w:rFonts w:cs="Times New Roman" w:ascii="Times New Roman" w:hAnsi="Times New Roman"/>
                <w:sz w:val="24"/>
                <w:szCs w:val="24"/>
              </w:rPr>
              <w:t xml:space="preserve"> </w:t>
            </w:r>
            <w:r>
              <w:rPr>
                <w:rFonts w:cs="Times New Roman" w:ascii="Times New Roman" w:hAnsi="Times New Roman"/>
                <w:sz w:val="24"/>
                <w:szCs w:val="24"/>
                <w:lang w:val="en-US"/>
              </w:rPr>
              <w:t>Laser</w:t>
            </w:r>
            <w:r>
              <w:rPr>
                <w:rFonts w:cs="Times New Roman" w:ascii="Times New Roman" w:hAnsi="Times New Roman"/>
                <w:sz w:val="24"/>
                <w:szCs w:val="24"/>
              </w:rPr>
              <w:t xml:space="preserve"> </w:t>
            </w:r>
            <w:r>
              <w:rPr>
                <w:rFonts w:cs="Times New Roman" w:ascii="Times New Roman" w:hAnsi="Times New Roman"/>
                <w:sz w:val="24"/>
                <w:szCs w:val="24"/>
                <w:lang w:val="en-US"/>
              </w:rPr>
              <w:t>Jen</w:t>
            </w:r>
            <w:r>
              <w:rPr>
                <w:rFonts w:cs="Times New Roman" w:ascii="Times New Roman" w:hAnsi="Times New Roman"/>
                <w:sz w:val="24"/>
                <w:szCs w:val="24"/>
              </w:rPr>
              <w:t xml:space="preserve">  1 шт МФУ </w:t>
            </w:r>
          </w:p>
          <w:p>
            <w:pPr>
              <w:pStyle w:val="Normal"/>
              <w:widowControl/>
              <w:bidi w:val="0"/>
              <w:spacing w:lineRule="auto" w:line="276" w:before="0" w:after="200"/>
              <w:jc w:val="left"/>
              <w:rPr>
                <w:rFonts w:ascii="Times New Roman" w:hAnsi="Times New Roman" w:cs="Times New Roman"/>
                <w:sz w:val="24"/>
                <w:szCs w:val="24"/>
              </w:rPr>
            </w:pPr>
            <w:r>
              <w:rPr>
                <w:rFonts w:cs="Times New Roman" w:ascii="Times New Roman" w:hAnsi="Times New Roman"/>
                <w:sz w:val="24"/>
                <w:szCs w:val="24"/>
                <w:lang w:val="en-US"/>
              </w:rPr>
              <w:t>EPSON</w:t>
            </w:r>
            <w:r>
              <w:rPr>
                <w:rFonts w:cs="Times New Roman" w:ascii="Times New Roman" w:hAnsi="Times New Roman"/>
                <w:sz w:val="24"/>
                <w:szCs w:val="24"/>
              </w:rPr>
              <w:t xml:space="preserve">    1 шт  </w:t>
            </w:r>
          </w:p>
        </w:tc>
        <w:tc>
          <w:tcPr>
            <w:tcW w:w="21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46 995,00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29 580,00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29 310,00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27 400,00</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46 995,00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29 580,00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29 310,00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27 400,00</w:t>
            </w:r>
          </w:p>
        </w:tc>
        <w:tc>
          <w:tcPr>
            <w:tcW w:w="21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46 995,00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29 580,00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29 310,00</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27 400,00</w:t>
            </w:r>
          </w:p>
        </w:tc>
      </w:tr>
    </w:tbl>
    <w:p>
      <w:pPr>
        <w:pStyle w:val="Normal"/>
        <w:numPr>
          <w:ilvl w:val="0"/>
          <w:numId w:val="0"/>
        </w:numPr>
        <w:spacing w:lineRule="auto" w:line="240" w:before="0" w:after="0"/>
        <w:jc w:val="both"/>
        <w:outlineLvl w:val="0"/>
        <w:rPr/>
      </w:pPr>
      <w:r>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pacing w:val="4"/>
          <w:sz w:val="28"/>
          <w:szCs w:val="28"/>
        </w:rPr>
        <w:t>Из таблицы № 2,3 видно, что в</w:t>
      </w:r>
      <w:r>
        <w:rPr>
          <w:rFonts w:cs="Times New Roman" w:ascii="Times New Roman" w:hAnsi="Times New Roman"/>
          <w:sz w:val="28"/>
          <w:szCs w:val="28"/>
        </w:rPr>
        <w:t xml:space="preserve"> проверяемом периоде объемы финансирования утверждены бюджетом за счет средств краевого бюджета, исполнение составило 100 %.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Исполнение по отношению к утвержденным бюджетом объемам составило 100 %, по отношению к утвержденным объемам в паспорте Программы составило 100 % по мероприятию, а по программе в целом – 100%.</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Несмотря на выделение средств из местного и краевого бюджетов, направляемых на укрепление материально-технической базы образовательных учреждений дополнительного образования в области культуры, сохраняется потребность в приобретении учебно-методической литературы, музыкальных инструментов, специального оборудования, костюмов. Требуются ремонт и реконструкция зданий и помещений.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Необходимо осуществлять комплексную поддержку всей сети учреждений и базовых площадок по работе с детьми, одаренными в области культуры и искусства (поддержка детских коллективов любительского художественного творчества, приобретение музыкальных инструментов                        и специального оборудования, мебели, проведение капитального ремонта                    и реконструкции, мероприятий по обеспечению безопасности).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Наблюдаются дефицит и старение кадров, кадровый состав слабо обновляется за счет молодых специалистов. Необходимо сосредоточить усилия на повышении оплаты труда работников культуры, улучшении                         их жилищных условий, продолжить выплаты денежных поощрений.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Однако состояние материально-технической базы образовательных учреждений в области культуры продолжает ухудшаться. Необходимо продолжить модернизацию и развитие существующей культурной инфраструктуры, исходя из критериев наиболее полного удовлетворения потребностей населения, сохранения и приумножения культурного потенциала города.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3. Анализ исполнения муниципального задания</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 итогам работы в 2017 году учреждениями культуры и дополнительного образования детей в сфере культуры подготовлен сводный отчет о фактическом исполнении муниципальных заданий. Все муниципальные задания выполнены в полном объеме или с превышением значений плановых показателей. Не выполнение по услугам и работам отсутствует.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 МБУДО «ДШИ № 1» г. Канска.</w:t>
      </w:r>
    </w:p>
    <w:p>
      <w:pPr>
        <w:pStyle w:val="ListParagraph"/>
        <w:ind w:left="0" w:firstLine="709"/>
        <w:jc w:val="both"/>
        <w:rPr>
          <w:sz w:val="28"/>
          <w:szCs w:val="28"/>
        </w:rPr>
      </w:pPr>
      <w:r>
        <w:rPr>
          <w:sz w:val="28"/>
          <w:szCs w:val="28"/>
        </w:rPr>
        <w:t xml:space="preserve">Услуга по реализации дополнительной общеобразовательной предпрофессиональной программы выполнено по специальностям: </w:t>
      </w:r>
    </w:p>
    <w:p>
      <w:pPr>
        <w:pStyle w:val="ListParagraph"/>
        <w:numPr>
          <w:ilvl w:val="0"/>
          <w:numId w:val="1"/>
        </w:numPr>
        <w:jc w:val="both"/>
        <w:rPr>
          <w:sz w:val="28"/>
          <w:szCs w:val="28"/>
        </w:rPr>
      </w:pPr>
      <w:r>
        <w:rPr>
          <w:sz w:val="28"/>
          <w:szCs w:val="28"/>
        </w:rPr>
        <w:t>«Струнные инструменты» на 105%;</w:t>
      </w:r>
    </w:p>
    <w:p>
      <w:pPr>
        <w:pStyle w:val="ListParagraph"/>
        <w:numPr>
          <w:ilvl w:val="0"/>
          <w:numId w:val="1"/>
        </w:numPr>
        <w:jc w:val="both"/>
        <w:rPr>
          <w:sz w:val="28"/>
          <w:szCs w:val="28"/>
        </w:rPr>
      </w:pPr>
      <w:r>
        <w:rPr>
          <w:sz w:val="28"/>
          <w:szCs w:val="28"/>
        </w:rPr>
        <w:t>«Народные инструменты» на 101,5%;</w:t>
      </w:r>
    </w:p>
    <w:p>
      <w:pPr>
        <w:pStyle w:val="ListParagraph"/>
        <w:tabs>
          <w:tab w:val="clear" w:pos="708"/>
          <w:tab w:val="left" w:pos="1560" w:leader="none"/>
        </w:tabs>
        <w:ind w:left="0" w:firstLine="709"/>
        <w:jc w:val="both"/>
        <w:rPr>
          <w:sz w:val="28"/>
          <w:szCs w:val="28"/>
        </w:rPr>
      </w:pPr>
      <w:r>
        <w:rPr>
          <w:sz w:val="28"/>
          <w:szCs w:val="28"/>
        </w:rPr>
        <w:t>Услуга по реализации дополнительных общеразвивающих программ выполнена на 100 %.</w:t>
      </w:r>
    </w:p>
    <w:p>
      <w:pPr>
        <w:pStyle w:val="ListParagraph"/>
        <w:tabs>
          <w:tab w:val="clear" w:pos="708"/>
          <w:tab w:val="left" w:pos="1560" w:leader="none"/>
        </w:tabs>
        <w:ind w:left="0" w:firstLine="1069"/>
        <w:jc w:val="both"/>
        <w:rPr>
          <w:sz w:val="28"/>
          <w:szCs w:val="28"/>
        </w:rPr>
      </w:pPr>
      <w:r>
        <w:rPr>
          <w:sz w:val="28"/>
          <w:szCs w:val="28"/>
        </w:rPr>
        <w:t>Муниципальное задание по МБУДО «ДШИ № 1» г. Канска выполнено в полном объеме.</w:t>
      </w:r>
    </w:p>
    <w:p>
      <w:pPr>
        <w:pStyle w:val="ListParagraph"/>
        <w:tabs>
          <w:tab w:val="clear" w:pos="708"/>
          <w:tab w:val="left" w:pos="1560" w:leader="none"/>
        </w:tabs>
        <w:ind w:left="1069" w:hanging="0"/>
        <w:jc w:val="both"/>
        <w:rPr>
          <w:sz w:val="28"/>
          <w:szCs w:val="28"/>
        </w:rPr>
      </w:pPr>
      <w:r>
        <w:rPr>
          <w:sz w:val="28"/>
          <w:szCs w:val="28"/>
        </w:rPr>
      </w:r>
    </w:p>
    <w:p>
      <w:pPr>
        <w:pStyle w:val="ListParagraph"/>
        <w:tabs>
          <w:tab w:val="clear" w:pos="708"/>
          <w:tab w:val="left" w:pos="1560" w:leader="none"/>
        </w:tabs>
        <w:ind w:left="1069" w:hanging="0"/>
        <w:jc w:val="both"/>
        <w:rPr>
          <w:sz w:val="28"/>
          <w:szCs w:val="28"/>
        </w:rPr>
      </w:pPr>
      <w:r>
        <w:rPr>
          <w:sz w:val="28"/>
          <w:szCs w:val="28"/>
        </w:rPr>
        <w:t>2. МБУДО ДХШ.</w:t>
      </w:r>
    </w:p>
    <w:p>
      <w:pPr>
        <w:pStyle w:val="ListParagraph"/>
        <w:tabs>
          <w:tab w:val="clear" w:pos="708"/>
          <w:tab w:val="left" w:pos="1560" w:leader="none"/>
        </w:tabs>
        <w:ind w:left="0" w:firstLine="1069"/>
        <w:jc w:val="both"/>
        <w:rPr>
          <w:sz w:val="28"/>
          <w:szCs w:val="28"/>
        </w:rPr>
      </w:pPr>
      <w:r>
        <w:rPr>
          <w:sz w:val="28"/>
          <w:szCs w:val="28"/>
        </w:rPr>
        <w:t>Услуга по реализации дополнительной общеобразовательной общеразвивающих программ выполнена на 102,1%. Услуга по реализации дополнительных общеобразовательных предпрофессиональных программ в области искусств «Живопись» выполнена на 105%.</w:t>
      </w:r>
    </w:p>
    <w:p>
      <w:pPr>
        <w:pStyle w:val="ListParagraph"/>
        <w:tabs>
          <w:tab w:val="clear" w:pos="708"/>
          <w:tab w:val="left" w:pos="1560" w:leader="none"/>
        </w:tabs>
        <w:ind w:left="0" w:firstLine="1069"/>
        <w:jc w:val="both"/>
        <w:rPr>
          <w:sz w:val="28"/>
          <w:szCs w:val="28"/>
        </w:rPr>
      </w:pPr>
      <w:r>
        <w:rPr>
          <w:sz w:val="28"/>
          <w:szCs w:val="28"/>
        </w:rPr>
        <w:t>Муниципальное задание по МБУДО ДХШ выполнено в полном объеме.</w:t>
      </w:r>
    </w:p>
    <w:p>
      <w:pPr>
        <w:pStyle w:val="ListParagraph"/>
        <w:tabs>
          <w:tab w:val="clear" w:pos="708"/>
          <w:tab w:val="left" w:pos="1560" w:leader="none"/>
        </w:tabs>
        <w:ind w:left="0" w:firstLine="1069"/>
        <w:jc w:val="both"/>
        <w:rPr>
          <w:sz w:val="28"/>
          <w:szCs w:val="28"/>
        </w:rPr>
      </w:pPr>
      <w:r>
        <w:rPr>
          <w:sz w:val="28"/>
          <w:szCs w:val="28"/>
        </w:rPr>
        <w:t xml:space="preserve">3. МБУДО ДМШ № 2 </w:t>
      </w:r>
    </w:p>
    <w:p>
      <w:pPr>
        <w:pStyle w:val="ListParagraph"/>
        <w:ind w:left="0" w:firstLine="709"/>
        <w:jc w:val="both"/>
        <w:rPr>
          <w:sz w:val="28"/>
          <w:szCs w:val="28"/>
        </w:rPr>
      </w:pPr>
      <w:r>
        <w:rPr>
          <w:sz w:val="28"/>
          <w:szCs w:val="28"/>
        </w:rPr>
        <w:t xml:space="preserve">Услуга по реализации дополнительной общеобразовательной предпрофессиональной программы выполнено по специальностям: </w:t>
      </w:r>
    </w:p>
    <w:p>
      <w:pPr>
        <w:pStyle w:val="ListParagraph"/>
        <w:numPr>
          <w:ilvl w:val="0"/>
          <w:numId w:val="1"/>
        </w:numPr>
        <w:jc w:val="both"/>
        <w:rPr>
          <w:sz w:val="28"/>
          <w:szCs w:val="28"/>
        </w:rPr>
      </w:pPr>
      <w:r>
        <w:rPr>
          <w:sz w:val="28"/>
          <w:szCs w:val="28"/>
        </w:rPr>
        <w:t>«Струнные инструменты» на 102,5%;</w:t>
      </w:r>
    </w:p>
    <w:p>
      <w:pPr>
        <w:pStyle w:val="ListParagraph"/>
        <w:numPr>
          <w:ilvl w:val="0"/>
          <w:numId w:val="1"/>
        </w:numPr>
        <w:jc w:val="both"/>
        <w:rPr>
          <w:sz w:val="28"/>
          <w:szCs w:val="28"/>
        </w:rPr>
      </w:pPr>
      <w:r>
        <w:rPr>
          <w:sz w:val="28"/>
          <w:szCs w:val="28"/>
        </w:rPr>
        <w:t>«Народные инструменты» на 105%;</w:t>
      </w:r>
    </w:p>
    <w:p>
      <w:pPr>
        <w:pStyle w:val="ListParagraph"/>
        <w:numPr>
          <w:ilvl w:val="0"/>
          <w:numId w:val="1"/>
        </w:numPr>
        <w:jc w:val="both"/>
        <w:rPr>
          <w:sz w:val="28"/>
          <w:szCs w:val="28"/>
        </w:rPr>
      </w:pPr>
      <w:r>
        <w:rPr>
          <w:sz w:val="28"/>
          <w:szCs w:val="28"/>
        </w:rPr>
        <w:t>«Фортепиано» на 100%;</w:t>
      </w:r>
    </w:p>
    <w:p>
      <w:pPr>
        <w:pStyle w:val="ListParagraph"/>
        <w:numPr>
          <w:ilvl w:val="0"/>
          <w:numId w:val="1"/>
        </w:numPr>
        <w:jc w:val="both"/>
        <w:rPr>
          <w:sz w:val="28"/>
          <w:szCs w:val="28"/>
        </w:rPr>
      </w:pPr>
      <w:r>
        <w:rPr>
          <w:sz w:val="28"/>
          <w:szCs w:val="28"/>
        </w:rPr>
        <w:t>«Хоровое пение» на 102,5%.</w:t>
      </w:r>
    </w:p>
    <w:p>
      <w:pPr>
        <w:pStyle w:val="ListParagraph"/>
        <w:tabs>
          <w:tab w:val="clear" w:pos="708"/>
          <w:tab w:val="left" w:pos="1560" w:leader="none"/>
        </w:tabs>
        <w:ind w:left="0" w:firstLine="709"/>
        <w:jc w:val="both"/>
        <w:rPr>
          <w:sz w:val="28"/>
          <w:szCs w:val="28"/>
        </w:rPr>
      </w:pPr>
      <w:r>
        <w:rPr>
          <w:sz w:val="28"/>
          <w:szCs w:val="28"/>
        </w:rPr>
        <w:t>Услуга по реализации дополнительных общеразвивающих программ выполнена на 100 %.</w:t>
      </w:r>
    </w:p>
    <w:p>
      <w:pPr>
        <w:pStyle w:val="ListParagraph"/>
        <w:tabs>
          <w:tab w:val="clear" w:pos="708"/>
          <w:tab w:val="left" w:pos="1560" w:leader="none"/>
        </w:tabs>
        <w:ind w:left="0" w:firstLine="1069"/>
        <w:jc w:val="both"/>
        <w:rPr>
          <w:sz w:val="28"/>
          <w:szCs w:val="28"/>
        </w:rPr>
      </w:pPr>
      <w:r>
        <w:rPr>
          <w:sz w:val="28"/>
          <w:szCs w:val="28"/>
        </w:rPr>
        <w:t>Муниципальное задание по МБУДО ДМШ № 2 выполнено в полном объеме.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u w:val="single"/>
        </w:rPr>
        <w:t xml:space="preserve">Эффективность реализации муниципальной программы за 2017 год признается </w:t>
      </w:r>
      <w:r>
        <w:rPr>
          <w:rFonts w:cs="Times New Roman" w:ascii="Times New Roman" w:hAnsi="Times New Roman"/>
          <w:b/>
          <w:sz w:val="28"/>
          <w:szCs w:val="28"/>
          <w:u w:val="single"/>
        </w:rPr>
        <w:t>высокоэффективной</w:t>
      </w:r>
      <w:r>
        <w:rPr>
          <w:rFonts w:cs="Times New Roman" w:ascii="Times New Roman" w:hAnsi="Times New Roman"/>
          <w:sz w:val="28"/>
          <w:szCs w:val="28"/>
        </w:rPr>
        <w:t>.</w:t>
      </w:r>
    </w:p>
    <w:p>
      <w:pPr>
        <w:pStyle w:val="ListParagraph"/>
        <w:ind w:left="1429" w:hanging="0"/>
        <w:jc w:val="both"/>
        <w:rPr>
          <w:sz w:val="28"/>
          <w:szCs w:val="28"/>
        </w:rPr>
      </w:pPr>
      <w:r>
        <w:rPr>
          <w:sz w:val="28"/>
          <w:szCs w:val="28"/>
        </w:rPr>
      </w:r>
    </w:p>
    <w:p>
      <w:pPr>
        <w:pStyle w:val="Normal"/>
        <w:tabs>
          <w:tab w:val="clear" w:pos="708"/>
          <w:tab w:val="left" w:pos="360" w:leader="none"/>
        </w:tabs>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4. Организация закупок</w:t>
      </w:r>
    </w:p>
    <w:p>
      <w:pPr>
        <w:pStyle w:val="Normal"/>
        <w:tabs>
          <w:tab w:val="clear" w:pos="708"/>
          <w:tab w:val="left" w:pos="3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color w:val="2E74B5" w:themeColor="accent1" w:themeShade="bf"/>
          <w:sz w:val="28"/>
          <w:szCs w:val="28"/>
        </w:rPr>
        <w:tab/>
      </w:r>
      <w:r>
        <w:rPr>
          <w:rFonts w:cs="Times New Roman" w:ascii="Times New Roman" w:hAnsi="Times New Roman"/>
          <w:sz w:val="28"/>
          <w:szCs w:val="28"/>
        </w:rPr>
        <w:t>В ходе проверке организации закупок установлено, что                                               в анализируемом периоде в соответствии с частью 2 статьи 38 Федерального закона от 05.04.2013 № 44-ФЗ (далее – Федеральный закон № 44-ФЗ) в отделе культуры администрации города Канска приказом от 01.09.2016 № 32/1-ОД ответственным за осуществление закупок товаров, работ, услуг (контрактным управляющим) была назначена Ломова Ю.А. (и.о. начальника).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t>В соответствии с частью 6 статьи 38 и частью 23 статьи 112 Федерального закона № 44-ФЗ, действующий к</w:t>
      </w:r>
      <w:r>
        <w:rPr>
          <w:rFonts w:cs="Times New Roman" w:ascii="Times New Roman" w:hAnsi="Times New Roman"/>
          <w:iCs/>
          <w:sz w:val="28"/>
          <w:szCs w:val="28"/>
        </w:rPr>
        <w:t xml:space="preserve">онтрактный управляющий                    в 2017году не имел </w:t>
      </w:r>
      <w:r>
        <w:rPr>
          <w:rFonts w:cs="Times New Roman" w:ascii="Times New Roman" w:hAnsi="Times New Roman"/>
          <w:sz w:val="28"/>
          <w:szCs w:val="28"/>
        </w:rPr>
        <w:t>дополнительного профессионального образования в сфере закупок.</w:t>
      </w:r>
    </w:p>
    <w:p>
      <w:pPr>
        <w:pStyle w:val="Normal"/>
        <w:spacing w:lineRule="auto" w:line="240" w:before="0" w:after="0"/>
        <w:jc w:val="both"/>
        <w:rPr>
          <w:rFonts w:ascii="Times New Roman" w:hAnsi="Times New Roman" w:cs="Times New Roman"/>
          <w:iCs/>
          <w:sz w:val="28"/>
          <w:szCs w:val="28"/>
        </w:rPr>
      </w:pPr>
      <w:r>
        <w:rPr>
          <w:rFonts w:cs="Times New Roman" w:ascii="Times New Roman" w:hAnsi="Times New Roman"/>
          <w:iCs/>
          <w:sz w:val="28"/>
          <w:szCs w:val="28"/>
        </w:rPr>
      </w:r>
    </w:p>
    <w:p>
      <w:pPr>
        <w:pStyle w:val="Normal"/>
        <w:spacing w:lineRule="auto" w:line="240" w:before="0" w:after="0"/>
        <w:jc w:val="both"/>
        <w:rPr>
          <w:rFonts w:ascii="Times New Roman" w:hAnsi="Times New Roman"/>
          <w:bCs/>
          <w:sz w:val="28"/>
          <w:szCs w:val="28"/>
        </w:rPr>
      </w:pPr>
      <w:r>
        <w:rPr>
          <w:rFonts w:ascii="Times New Roman" w:hAnsi="Times New Roman"/>
          <w:bCs/>
          <w:sz w:val="28"/>
          <w:szCs w:val="28"/>
        </w:rPr>
        <w:t>В соответствии со ст. 52, 53, 67, 68, 69, 78, 81, 82, 83, 89, 90 Федерального закона № 44-ФЗ протоколы по осуществлению закупок размещены в единой информационной системе.</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 соответствии с п. 2 Приказа Минэкономразвития России № 182, Казначейства России № 7 н от 31.03.2015 года (ред. от 03.11.2015 года)                «Об особенностях размещения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планы –графики подлежат размещению на официальном сайте не позднее одного календарного месяца после принятия законов (решения).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План –график размещен на официальном сайте своевременно.</w:t>
      </w:r>
    </w:p>
    <w:p>
      <w:pPr>
        <w:pStyle w:val="Normal"/>
        <w:spacing w:lineRule="auto" w:line="240" w:before="0" w:after="0"/>
        <w:ind w:firstLine="709"/>
        <w:jc w:val="both"/>
        <w:rPr>
          <w:rFonts w:ascii="Times New Roman" w:hAnsi="Times New Roman"/>
          <w:sz w:val="28"/>
          <w:szCs w:val="28"/>
        </w:rPr>
      </w:pPr>
      <w:r>
        <w:rPr>
          <w:rFonts w:ascii="Times New Roman" w:hAnsi="Times New Roman"/>
          <w:bCs/>
          <w:sz w:val="28"/>
          <w:szCs w:val="28"/>
        </w:rPr>
        <w:t>В</w:t>
      </w:r>
      <w:r>
        <w:rPr>
          <w:rFonts w:ascii="Times New Roman" w:hAnsi="Times New Roman"/>
          <w:sz w:val="28"/>
          <w:szCs w:val="28"/>
        </w:rPr>
        <w:t xml:space="preserve"> ходе проверки обоснованности и законности выбора способа определения поставщика (подрядчика, исполнителя) при закупке                                        у единственного поставщика (подрядчика, исполнителя) нарушений                             не выявлено.</w:t>
      </w:r>
    </w:p>
    <w:p>
      <w:pPr>
        <w:pStyle w:val="Normal"/>
        <w:spacing w:lineRule="auto" w:line="240" w:before="0" w:after="0"/>
        <w:ind w:firstLine="709"/>
        <w:jc w:val="both"/>
        <w:rPr>
          <w:rFonts w:ascii="Times New Roman" w:hAnsi="Times New Roman" w:cs="Times New Roman"/>
          <w:sz w:val="28"/>
          <w:szCs w:val="28"/>
        </w:rPr>
      </w:pPr>
      <w:r>
        <w:rPr>
          <w:rFonts w:ascii="Times New Roman" w:hAnsi="Times New Roman"/>
          <w:sz w:val="28"/>
          <w:szCs w:val="28"/>
        </w:rPr>
        <w:t>В ходе проверки предоставленных контрактов и приложений к ним оформлены надлежащим образом, все контракты заключены у единственного поставщика, нарушения по контрактам не выявлено.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b/>
          <w:b/>
          <w:bCs/>
          <w:sz w:val="28"/>
          <w:szCs w:val="28"/>
        </w:rPr>
      </w:pPr>
      <w:r>
        <w:rPr>
          <w:rFonts w:cs="Times New Roman" w:ascii="Times New Roman" w:hAnsi="Times New Roman"/>
          <w:b/>
          <w:bCs/>
          <w:kern w:val="2"/>
          <w:sz w:val="28"/>
          <w:szCs w:val="28"/>
        </w:rPr>
        <w:t xml:space="preserve">5. Выполнение мероприятий </w:t>
      </w:r>
      <w:r>
        <w:rPr>
          <w:rFonts w:cs="Times New Roman" w:ascii="Times New Roman" w:hAnsi="Times New Roman"/>
          <w:b/>
          <w:bCs/>
          <w:sz w:val="28"/>
          <w:szCs w:val="28"/>
        </w:rPr>
        <w:t>Программы</w:t>
      </w:r>
    </w:p>
    <w:p>
      <w:pPr>
        <w:pStyle w:val="Normal"/>
        <w:numPr>
          <w:ilvl w:val="0"/>
          <w:numId w:val="0"/>
        </w:numPr>
        <w:spacing w:lineRule="auto" w:line="240" w:before="0" w:after="0"/>
        <w:jc w:val="both"/>
        <w:outlineLvl w:val="0"/>
        <w:rPr/>
      </w:pPr>
      <w:r>
        <w:rPr/>
        <w:t xml:space="preserve">           </w:t>
      </w:r>
      <w:r>
        <w:rPr>
          <w:rFonts w:cs="Times New Roman" w:ascii="Times New Roman" w:hAnsi="Times New Roman"/>
          <w:sz w:val="28"/>
          <w:szCs w:val="28"/>
        </w:rPr>
        <w:t>Для решения поставленных в подпрограмме 4</w:t>
      </w:r>
      <w:hyperlink r:id="rId2">
        <w:r>
          <w:rPr>
            <w:rFonts w:cs="Times New Roman" w:ascii="Times New Roman" w:hAnsi="Times New Roman"/>
            <w:b/>
            <w:bCs/>
            <w:sz w:val="28"/>
            <w:szCs w:val="28"/>
          </w:rPr>
          <w:t xml:space="preserve"> "</w:t>
        </w:r>
      </w:hyperlink>
      <w:r>
        <w:rPr>
          <w:rFonts w:cs="Times New Roman" w:ascii="Times New Roman" w:hAnsi="Times New Roman"/>
          <w:bCs/>
          <w:sz w:val="28"/>
          <w:szCs w:val="28"/>
        </w:rPr>
        <w:t xml:space="preserve">Обеспечение условий реализации программы и прочие мероприятия" </w:t>
      </w:r>
      <w:r>
        <w:rPr>
          <w:rFonts w:cs="Times New Roman" w:ascii="Times New Roman" w:hAnsi="Times New Roman"/>
          <w:sz w:val="28"/>
          <w:szCs w:val="28"/>
        </w:rPr>
        <w:t>задач предусмотрены мероприятия по следующим направлениям:</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обеспечение эффективного управления кадровыми ресурсами                               в отрасли "культура";</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повышение профессионального уровня работников, укрепление кадрового потенциала;</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создание условий для привлечения в отрасль "культура" высококвалифицированных кадров, в том числе молодых специалистов;</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повышение социального статуса и престижа творческих работников                  и работников культуры;</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сохранение и непрерывное воспроизводство творческого потенциала города посредством поддержки одаренных детей и молодежи вне зависимости от типов и видов учреждений, включенных в работу с ребенком;</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усиление социальной поддержки деятелей культуры, учреждений культуры;</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расширение использования современных информационно-коммуникационных технологий и электронных продуктов в отрасли "культура", развитие информационных ресурсов;</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улучшение сохранности музейных и библиотечных фондов;</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укрепление материально-технической базы учреждений культуры                     и образовательных учреждений дополнительного образования в области культуры, в том числе обеспечение безопасного и комфортного пребывания посетителей;</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повышение качества и доступности муниципальных услуг, оказываемых в сфере культуры;</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формирование необходимой нормативно-правовой базы, направленной на развитие отрасли "культура";</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повышение эффективности управления отраслью "культура", расходования бюджетных расходов, внедрение современных подходов бюджетного планирования;</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создание эффективной системы управления реализацией программы, реализация в полном объеме мероприятий программы, достижение ее целей                 и задач;</w:t>
      </w:r>
    </w:p>
    <w:p>
      <w:pPr>
        <w:pStyle w:val="Normal"/>
        <w:numPr>
          <w:ilvl w:val="0"/>
          <w:numId w:val="0"/>
        </w:numPr>
        <w:spacing w:lineRule="auto" w:line="240" w:before="0" w:after="0"/>
        <w:ind w:firstLine="709"/>
        <w:jc w:val="both"/>
        <w:outlineLvl w:val="0"/>
        <w:rPr>
          <w:rFonts w:ascii="Times New Roman" w:hAnsi="Times New Roman" w:cs="Times New Roman"/>
          <w:sz w:val="28"/>
          <w:szCs w:val="28"/>
        </w:rPr>
      </w:pPr>
      <w:r>
        <w:rPr>
          <w:rFonts w:cs="Times New Roman" w:ascii="Times New Roman" w:hAnsi="Times New Roman"/>
          <w:sz w:val="28"/>
          <w:szCs w:val="28"/>
        </w:rPr>
        <w:t>- создание необходимых условий для активизации инновационной                        и инвестиционной деятельности в сфере культуры.</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Подпрограмма направлена на решение задачи программы "Создание условий для устойчивого развития отрасли "Культура" в городе Канске",                       а также оказывает влияние на все остальные подпрограммы, осуществляемые в рамках программы.</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Дополнительное образование в сфере культуры и искусства города Канска представляет собой систему творческого развития детей и молодежи              и непрерывный процесс подготовки профессиональных кадров для функционирования культурной сферы города.</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Сеть муниципальных образовательных учреждений дополнительного образования в области культуры включает в себя 3 детские школы: Муниципальное бюджетное учреждение дополнительного образования "Детская школа искусств N 1" г. Канска, Муниципальное бюджетное учреждение дополнительного образования Детская музыкальная школа N 2, Муниципальное бюджетное учреждение дополнительного образования Детская художественная школа.</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В настоящее время в связи с потребностью общества в неординарной творческой личности процесс поиска талантов, создания условий для развития творческих способностей с целью их последующей реализации                                             в профессиональной деятельности приобретает особую актуальность и должен быть направлен на максимально широкий круг детей и молодежи. Работа                       с одаренными детьми в городе Канске на разных уровнях проявления способностей осуществляется через развитие системы творческих конкурсов, организацию мастер-классов. Одаренным детям в области культуры                                и искусства предоставляется возможность участия во всероссийских, международных конкурсах, фестивалях и выставках. Одной из форм работы                 с одаренными детьми также является стимулирование и поощрение, которое осуществляется через систему премий и призов по результатам конкурсов.</w:t>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40"/>
        <w:jc w:val="both"/>
        <w:rPr>
          <w:rFonts w:ascii="Times New Roman" w:hAnsi="Times New Roman" w:eastAsia="Calibri" w:cs="Times New Roman" w:eastAsiaTheme="minorHAnsi"/>
          <w:sz w:val="28"/>
          <w:szCs w:val="28"/>
        </w:rPr>
      </w:pPr>
      <w:r>
        <w:rPr>
          <w:rFonts w:cs="Times New Roman" w:ascii="Times New Roman" w:hAnsi="Times New Roman"/>
          <w:sz w:val="28"/>
          <w:szCs w:val="28"/>
        </w:rPr>
        <w:t>В 2017 году в целях повышения уровня педагогического мастерства                         и совершенствования работы преподавателей муниципальных образовательных учреждений дополнительного образования прошел конкурс профессионального мастерства преподавателей школ искусств "Педагогический талант в искусстве".</w:t>
      </w:r>
    </w:p>
    <w:p>
      <w:pPr>
        <w:pStyle w:val="Normal"/>
        <w:spacing w:lineRule="auto" w:line="24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6.</w:t>
      </w:r>
      <w:r>
        <w:rPr>
          <w:rFonts w:cs="Times New Roman" w:ascii="Times New Roman" w:hAnsi="Times New Roman"/>
          <w:sz w:val="28"/>
          <w:szCs w:val="28"/>
        </w:rPr>
        <w:t xml:space="preserve"> </w:t>
      </w:r>
      <w:r>
        <w:rPr>
          <w:rFonts w:cs="Times New Roman" w:ascii="Times New Roman" w:hAnsi="Times New Roman"/>
          <w:b/>
          <w:sz w:val="28"/>
          <w:szCs w:val="28"/>
        </w:rPr>
        <w:t>Оценка эффективности муниципальной Программы</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pPr>
      <w:r>
        <w:rPr>
          <w:rFonts w:cs="Times New Roman" w:ascii="Times New Roman" w:hAnsi="Times New Roman"/>
          <w:sz w:val="28"/>
          <w:szCs w:val="28"/>
        </w:rPr>
        <w:t xml:space="preserve">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дополнительного образования в сфере культуры, показателей </w:t>
      </w:r>
      <w:hyperlink r:id="rId3">
        <w:r>
          <w:rPr>
            <w:rStyle w:val="Style16"/>
            <w:rFonts w:cs="Times New Roman" w:ascii="Times New Roman" w:hAnsi="Times New Roman"/>
            <w:color w:val="auto"/>
            <w:sz w:val="28"/>
            <w:szCs w:val="28"/>
            <w:u w:val="none"/>
          </w:rPr>
          <w:t>Плана</w:t>
        </w:r>
      </w:hyperlink>
      <w:r>
        <w:rPr>
          <w:rFonts w:cs="Times New Roman" w:ascii="Times New Roman" w:hAnsi="Times New Roman"/>
          <w:sz w:val="28"/>
          <w:szCs w:val="28"/>
        </w:rPr>
        <w:t xml:space="preserve"> мероприятий ("дорожной карты") "Изменения в отраслях социальной сферы, направленные на повышение эффективности сферы культуры города Канска", утвержденного Постановлением администрации города Канска от 09.08.2013 N 1035.</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sz w:val="28"/>
          <w:szCs w:val="28"/>
        </w:rPr>
        <w:t>Показатели эффективности измеряются по количественным показателям решения поставленных задач и хода реализации по годам. Одним                                     из принципов</w:t>
      </w:r>
      <w:r>
        <w:rPr>
          <w:rFonts w:cs="Times New Roman" w:ascii="Times New Roman" w:hAnsi="Times New Roman"/>
          <w:b/>
          <w:sz w:val="28"/>
          <w:szCs w:val="28"/>
        </w:rPr>
        <w:t xml:space="preserve"> </w:t>
      </w:r>
      <w:r>
        <w:rPr>
          <w:rFonts w:cs="Times New Roman" w:ascii="Times New Roman" w:hAnsi="Times New Roman"/>
          <w:sz w:val="28"/>
          <w:szCs w:val="28"/>
        </w:rPr>
        <w:t>формирования муниципальных программ является проведение регулярной оценки результативности и эффективности</w:t>
      </w:r>
      <w:r>
        <w:rPr>
          <w:rFonts w:cs="Times New Roman" w:ascii="Times New Roman" w:hAnsi="Times New Roman"/>
          <w:b/>
          <w:sz w:val="28"/>
          <w:szCs w:val="28"/>
        </w:rPr>
        <w:t xml:space="preserve"> </w:t>
      </w:r>
      <w:r>
        <w:rPr>
          <w:rFonts w:cs="Times New Roman" w:ascii="Times New Roman" w:hAnsi="Times New Roman"/>
          <w:bCs/>
          <w:sz w:val="28"/>
          <w:szCs w:val="28"/>
        </w:rPr>
        <w:t>реализации муниципальных, оценки их вклада в решение вопросов модернизации                              и инновационного развития экономики с возможностью их корректировки или досрочного прекращения, а также установления ответственности должностных лиц в случае неэффективной реализации программ.</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Отдел Культуры города Канска размещает на официальном сайте муниципального заказчика в информационно-телекоммуникационной сети «Интернет» информации о ходе и результатах реализации мероприятий Программы.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7. Проверка целевого использования средств</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Проверкой целевого использования средств, выделенных из бюджета города Канска, на реализацию мероприятий Программы, установлено следующее: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Объемы финансирования</w:t>
      </w:r>
      <w:r>
        <w:rPr>
          <w:rFonts w:cs="Times New Roman" w:ascii="Times New Roman" w:hAnsi="Times New Roman"/>
          <w:spacing w:val="4"/>
          <w:sz w:val="28"/>
          <w:szCs w:val="28"/>
        </w:rPr>
        <w:t xml:space="preserve"> в</w:t>
      </w:r>
      <w:r>
        <w:rPr>
          <w:rFonts w:cs="Times New Roman" w:ascii="Times New Roman" w:hAnsi="Times New Roman"/>
          <w:sz w:val="28"/>
          <w:szCs w:val="28"/>
        </w:rPr>
        <w:t xml:space="preserve"> проверяемом периоде предусмотренные                      в соответствии с утвержденными мероприятиями Программы использованы по целевому назначению.  </w:t>
      </w:r>
    </w:p>
    <w:p>
      <w:pPr>
        <w:pStyle w:val="ConsPlusNormal"/>
        <w:widowControl/>
        <w:ind w:firstLine="540"/>
        <w:jc w:val="center"/>
        <w:rPr>
          <w:rFonts w:ascii="Times New Roman" w:hAnsi="Times New Roman" w:cs="Times New Roman"/>
          <w:b/>
          <w:b/>
          <w:sz w:val="28"/>
          <w:szCs w:val="28"/>
        </w:rPr>
      </w:pPr>
      <w:r>
        <w:rPr>
          <w:rFonts w:cs="Times New Roman" w:ascii="Times New Roman" w:hAnsi="Times New Roman"/>
          <w:b/>
          <w:sz w:val="28"/>
          <w:szCs w:val="28"/>
        </w:rPr>
      </w:r>
    </w:p>
    <w:p>
      <w:pPr>
        <w:pStyle w:val="ConsPlusNormal"/>
        <w:widowControl/>
        <w:ind w:firstLine="540"/>
        <w:jc w:val="center"/>
        <w:rPr>
          <w:rFonts w:ascii="Times New Roman" w:hAnsi="Times New Roman" w:cs="Times New Roman"/>
          <w:b/>
          <w:b/>
          <w:sz w:val="28"/>
          <w:szCs w:val="28"/>
        </w:rPr>
      </w:pPr>
      <w:r>
        <w:rPr>
          <w:rFonts w:cs="Times New Roman" w:ascii="Times New Roman" w:hAnsi="Times New Roman"/>
          <w:b/>
          <w:sz w:val="28"/>
          <w:szCs w:val="28"/>
        </w:rPr>
        <w:t>Выводы</w:t>
      </w:r>
    </w:p>
    <w:p>
      <w:pPr>
        <w:pStyle w:val="ConsPlusNormal"/>
        <w:widowControl/>
        <w:ind w:firstLine="540"/>
        <w:jc w:val="center"/>
        <w:rPr>
          <w:rFonts w:ascii="Times New Roman" w:hAnsi="Times New Roman" w:cs="Times New Roman"/>
          <w:bCs/>
          <w:sz w:val="28"/>
          <w:szCs w:val="28"/>
        </w:rPr>
      </w:pPr>
      <w:r>
        <w:rPr>
          <w:rFonts w:cs="Times New Roman" w:ascii="Times New Roman" w:hAnsi="Times New Roman"/>
          <w:bCs/>
          <w:sz w:val="28"/>
          <w:szCs w:val="28"/>
        </w:rPr>
      </w:r>
    </w:p>
    <w:p>
      <w:pPr>
        <w:pStyle w:val="Normal"/>
        <w:widowControl w:val="false"/>
        <w:spacing w:lineRule="auto" w:line="240"/>
        <w:ind w:firstLine="720"/>
        <w:jc w:val="both"/>
        <w:rPr>
          <w:rFonts w:ascii="Times New Roman" w:hAnsi="Times New Roman" w:cs="Times New Roman"/>
          <w:sz w:val="28"/>
          <w:szCs w:val="28"/>
        </w:rPr>
      </w:pPr>
      <w:r>
        <w:rPr>
          <w:rFonts w:cs="Times New Roman" w:ascii="Times New Roman" w:hAnsi="Times New Roman"/>
          <w:sz w:val="28"/>
          <w:szCs w:val="28"/>
        </w:rPr>
        <w:t xml:space="preserve">1. Источниками финансирования Программы являлись средства краевого и местного бюджета, Общий объем финансирования мероприятий Программы (с учетом изменений и дополнений) предусмотрен в 2017 году – 42 224 888,66 рублей.  </w:t>
      </w:r>
    </w:p>
    <w:p>
      <w:pPr>
        <w:pStyle w:val="Normal"/>
        <w:widowControl w:val="false"/>
        <w:spacing w:lineRule="auto" w:line="240"/>
        <w:ind w:firstLine="720"/>
        <w:jc w:val="both"/>
        <w:rPr>
          <w:rFonts w:ascii="Times New Roman" w:hAnsi="Times New Roman" w:cs="Times New Roman"/>
          <w:sz w:val="28"/>
          <w:szCs w:val="28"/>
        </w:rPr>
      </w:pPr>
      <w:r>
        <w:rPr>
          <w:rFonts w:cs="Times New Roman" w:ascii="Times New Roman" w:hAnsi="Times New Roman"/>
          <w:sz w:val="28"/>
          <w:szCs w:val="28"/>
        </w:rPr>
        <w:t>2. Фактически средства на реализацию Программы в 2017 году заложены (Программа утверждена 16.12.2016г.), из местного бюджета                       на реализацию мероприятий Программы в 2017 году выделены в объеме 39 533 572,56 рублей (1,97% от расходов по МП- 2 000 581 361,53), из краевого бюджета поступило 2 691 361,10. рублей.</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 xml:space="preserve">3. Среднее значение выполнения целевых показателей за 2017 год 100% (из запланированных 4 мероприятия в 2017 году выполнены все на 100%. </w:t>
      </w:r>
    </w:p>
    <w:p>
      <w:pPr>
        <w:pStyle w:val="Normal"/>
        <w:spacing w:lineRule="auto" w:line="240"/>
        <w:ind w:firstLine="709"/>
        <w:jc w:val="both"/>
        <w:rPr>
          <w:rFonts w:ascii="Times New Roman" w:hAnsi="Times New Roman" w:cs="Times New Roman"/>
          <w:bCs/>
          <w:sz w:val="28"/>
          <w:szCs w:val="28"/>
        </w:rPr>
      </w:pPr>
      <w:r>
        <w:rPr>
          <w:rFonts w:cs="Times New Roman" w:ascii="Times New Roman" w:hAnsi="Times New Roman"/>
          <w:sz w:val="28"/>
          <w:szCs w:val="28"/>
        </w:rPr>
        <w:t xml:space="preserve">5. </w:t>
      </w:r>
      <w:r>
        <w:rPr>
          <w:rFonts w:cs="Times New Roman" w:ascii="Times New Roman" w:hAnsi="Times New Roman"/>
          <w:bCs/>
          <w:sz w:val="28"/>
          <w:szCs w:val="28"/>
        </w:rPr>
        <w:t>По результатам проверки и в соответствии с методикой оценки эффективности реализации Программы – Программа является высокоэффективной.</w:t>
      </w:r>
    </w:p>
    <w:p>
      <w:pPr>
        <w:pStyle w:val="Normal"/>
        <w:spacing w:lineRule="auto" w:line="24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6. В нарушении </w:t>
      </w:r>
      <w:r>
        <w:rPr>
          <w:rFonts w:cs="Times New Roman" w:ascii="Times New Roman" w:hAnsi="Times New Roman"/>
          <w:sz w:val="28"/>
          <w:szCs w:val="28"/>
        </w:rPr>
        <w:t>части 6 статьи 38 и части 23 статьи 112 Федерального закона № 44-ФЗ, действующий к</w:t>
      </w:r>
      <w:r>
        <w:rPr>
          <w:rFonts w:cs="Times New Roman" w:ascii="Times New Roman" w:hAnsi="Times New Roman"/>
          <w:iCs/>
          <w:sz w:val="28"/>
          <w:szCs w:val="28"/>
        </w:rPr>
        <w:t xml:space="preserve">онтрактный управляющий не имел </w:t>
      </w:r>
      <w:r>
        <w:rPr>
          <w:rFonts w:cs="Times New Roman" w:ascii="Times New Roman" w:hAnsi="Times New Roman"/>
          <w:sz w:val="28"/>
          <w:szCs w:val="28"/>
        </w:rPr>
        <w:t>дополнительного профессионального образования в сфере закупок (в 2018 году данное нарушение устранено).</w:t>
      </w:r>
    </w:p>
    <w:p>
      <w:pPr>
        <w:pStyle w:val="Normal"/>
        <w:ind w:firstLine="709"/>
        <w:jc w:val="both"/>
        <w:rPr/>
      </w:pPr>
      <w:r>
        <w:rPr/>
      </w:r>
    </w:p>
    <w:p>
      <w:pPr>
        <w:pStyle w:val="Normal"/>
        <w:spacing w:lineRule="auto" w:line="240" w:before="0" w:after="0"/>
        <w:jc w:val="both"/>
        <w:textAlignment w:val="top"/>
        <w:rPr>
          <w:rFonts w:ascii="Times New Roman" w:hAnsi="Times New Roman" w:cs="Times New Roman"/>
          <w:sz w:val="28"/>
          <w:szCs w:val="28"/>
        </w:rPr>
      </w:pPr>
      <w:r>
        <w:rPr>
          <w:rFonts w:cs="Times New Roman" w:ascii="Times New Roman" w:hAnsi="Times New Roman"/>
          <w:sz w:val="28"/>
          <w:szCs w:val="28"/>
        </w:rPr>
        <w:t>Инспектор Контрольно-счетной</w:t>
      </w:r>
    </w:p>
    <w:p>
      <w:pPr>
        <w:pStyle w:val="Normal"/>
        <w:spacing w:lineRule="auto" w:line="240" w:before="0" w:after="0"/>
        <w:jc w:val="both"/>
        <w:textAlignment w:val="top"/>
        <w:rPr>
          <w:rFonts w:ascii="Times New Roman" w:hAnsi="Times New Roman" w:cs="Times New Roman"/>
          <w:sz w:val="28"/>
          <w:szCs w:val="28"/>
        </w:rPr>
      </w:pPr>
      <w:r>
        <w:rPr>
          <w:rFonts w:cs="Times New Roman" w:ascii="Times New Roman" w:hAnsi="Times New Roman"/>
          <w:sz w:val="28"/>
          <w:szCs w:val="28"/>
        </w:rPr>
        <w:t>комиссии города Канска                                                                            С.И. Рубан</w:t>
      </w:r>
    </w:p>
    <w:p>
      <w:pPr>
        <w:pStyle w:val="Normal"/>
        <w:spacing w:lineRule="auto" w:line="240" w:before="0" w:after="0"/>
        <w:jc w:val="both"/>
        <w:textAlignment w:val="top"/>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textAlignment w:val="top"/>
        <w:rPr>
          <w:rFonts w:ascii="Times New Roman" w:hAnsi="Times New Roman" w:cs="Times New Roman"/>
          <w:sz w:val="28"/>
          <w:szCs w:val="28"/>
        </w:rPr>
      </w:pPr>
      <w:r>
        <w:rPr>
          <w:rFonts w:cs="Times New Roman" w:ascii="Times New Roman" w:hAnsi="Times New Roman"/>
          <w:sz w:val="28"/>
          <w:szCs w:val="28"/>
        </w:rPr>
        <w:t>Начальник отдела культуры</w:t>
      </w:r>
    </w:p>
    <w:p>
      <w:pPr>
        <w:pStyle w:val="Normal"/>
        <w:spacing w:lineRule="auto" w:line="240" w:before="0" w:after="0"/>
        <w:jc w:val="both"/>
        <w:textAlignment w:val="top"/>
        <w:rPr>
          <w:rFonts w:ascii="Times New Roman" w:hAnsi="Times New Roman" w:cs="Times New Roman"/>
          <w:sz w:val="28"/>
          <w:szCs w:val="28"/>
        </w:rPr>
      </w:pPr>
      <w:r>
        <w:rPr>
          <w:rFonts w:cs="Times New Roman" w:ascii="Times New Roman" w:hAnsi="Times New Roman"/>
          <w:sz w:val="28"/>
          <w:szCs w:val="28"/>
        </w:rPr>
        <w:t>администрации города Канска                                                          И.В. Леонтьева</w:t>
      </w:r>
    </w:p>
    <w:p>
      <w:pPr>
        <w:pStyle w:val="Normal"/>
        <w:spacing w:lineRule="auto" w:line="240" w:before="0" w:after="0"/>
        <w:ind w:firstLine="709"/>
        <w:jc w:val="both"/>
        <w:rPr>
          <w:rFonts w:ascii="Times New Roman" w:hAnsi="Times New Roman" w:cs="Times New Roman"/>
          <w:i/>
          <w:i/>
          <w:iCs/>
          <w:sz w:val="28"/>
          <w:szCs w:val="28"/>
        </w:rPr>
      </w:pPr>
      <w:r>
        <w:rPr>
          <w:rFonts w:cs="Times New Roman" w:ascii="Times New Roman" w:hAnsi="Times New Roman"/>
          <w:i/>
          <w:iCs/>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textAlignment w:val="top"/>
        <w:rPr>
          <w:rFonts w:ascii="Times New Roman" w:hAnsi="Times New Roman" w:cs="Times New Roman"/>
          <w:sz w:val="28"/>
          <w:szCs w:val="28"/>
        </w:rPr>
      </w:pPr>
      <w:r>
        <w:rPr>
          <w:rFonts w:cs="Times New Roman" w:ascii="Times New Roman" w:hAnsi="Times New Roman"/>
          <w:sz w:val="28"/>
          <w:szCs w:val="28"/>
        </w:rPr>
        <w:t xml:space="preserve">Акт проверки </w:t>
      </w:r>
      <w:r>
        <w:rPr>
          <w:rFonts w:cs="Times New Roman" w:ascii="Times New Roman" w:hAnsi="Times New Roman"/>
          <w:b/>
          <w:sz w:val="28"/>
          <w:szCs w:val="28"/>
        </w:rPr>
        <w:t>от 08.10.2018г. № 2</w:t>
      </w:r>
      <w:r>
        <w:rPr>
          <w:rFonts w:cs="Times New Roman" w:ascii="Times New Roman" w:hAnsi="Times New Roman"/>
          <w:sz w:val="28"/>
          <w:szCs w:val="28"/>
        </w:rPr>
        <w:t xml:space="preserve"> составлен в двух экземплярах. Один экземпляр акта на 15 листах получен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_________</w:t>
      </w:r>
      <w:r>
        <w:rPr>
          <w:rFonts w:cs="Times New Roman" w:ascii="Times New Roman" w:hAnsi="Times New Roman"/>
          <w:sz w:val="28"/>
          <w:szCs w:val="28"/>
          <w:u w:val="single"/>
        </w:rPr>
        <w:t xml:space="preserve">                                              </w:t>
      </w:r>
      <w:r>
        <w:rPr>
          <w:rFonts w:cs="Times New Roman" w:ascii="Times New Roman" w:hAnsi="Times New Roman"/>
          <w:sz w:val="28"/>
          <w:szCs w:val="28"/>
        </w:rPr>
        <w:t>___</w:t>
      </w:r>
      <w:r>
        <w:rPr>
          <w:rFonts w:cs="Times New Roman" w:ascii="Times New Roman" w:hAnsi="Times New Roman"/>
          <w:sz w:val="28"/>
          <w:szCs w:val="28"/>
          <w:u w:val="single"/>
        </w:rPr>
        <w:t xml:space="preserve">                        </w:t>
      </w:r>
      <w:r>
        <w:rPr>
          <w:rFonts w:cs="Times New Roman" w:ascii="Times New Roman" w:hAnsi="Times New Roman"/>
          <w:sz w:val="28"/>
          <w:szCs w:val="28"/>
        </w:rPr>
        <w:t>___________</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(дата вручения Акта проверки, подпись, должность)</w:t>
      </w:r>
    </w:p>
    <w:p>
      <w:pPr>
        <w:pStyle w:val="Normal"/>
        <w:jc w:val="both"/>
        <w:textAlignment w:val="top"/>
        <w:rPr/>
      </w:pPr>
      <w:r>
        <w:rPr/>
      </w:r>
      <w:bookmarkStart w:id="1" w:name="_GoBack"/>
      <w:bookmarkStart w:id="2" w:name="_GoBack"/>
      <w:bookmarkEnd w:id="2"/>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tabs>
          <w:tab w:val="clear" w:pos="708"/>
          <w:tab w:val="left" w:pos="0" w:leader="none"/>
        </w:tabs>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widowControl/>
        <w:bidi w:val="0"/>
        <w:spacing w:lineRule="auto" w:line="276" w:before="0" w:after="200"/>
        <w:jc w:val="left"/>
        <w:rPr/>
      </w:pPr>
      <w:r>
        <w:rPr/>
      </w:r>
    </w:p>
    <w:sectPr>
      <w:headerReference w:type="default" r:id="rId4"/>
      <w:type w:val="nextPage"/>
      <w:pgSz w:w="11906" w:h="16838"/>
      <w:pgMar w:left="1701" w:right="850" w:header="708" w:top="1134"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31799037"/>
    </w:sdtPr>
    <w:sdtContent>
      <w:p>
        <w:pPr>
          <w:pStyle w:val="Style24"/>
          <w:jc w:val="center"/>
          <w:rPr/>
        </w:pPr>
        <w:r>
          <w:rPr/>
          <w:fldChar w:fldCharType="begin"/>
        </w:r>
        <w:r>
          <w:rPr/>
          <w:instrText> PAGE </w:instrText>
        </w:r>
        <w:r>
          <w:rPr/>
          <w:fldChar w:fldCharType="separate"/>
        </w:r>
        <w:r>
          <w:rPr/>
          <w:t>15</w:t>
        </w:r>
        <w:r>
          <w:rPr/>
          <w:fldChar w:fldCharType="end"/>
        </w:r>
      </w:p>
    </w:sdtContent>
  </w:sdt>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numPicBullet w:numPicBulletId="0">
    <w:pict>
      <v:shape style="width:11.25pt;height:11.25pt" o:bullet="t">
        <v:imagedata r:id="rId1" o:title=""/>
      </v:shape>
    </w:pict>
  </w:numPicBullet>
  <w:abstractNum w:abstractNumId="1">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247b2"/>
    <w:pPr>
      <w:widowControl/>
      <w:bidi w:val="0"/>
      <w:spacing w:lineRule="auto" w:line="276" w:before="0" w:after="200"/>
      <w:jc w:val="left"/>
    </w:pPr>
    <w:rPr>
      <w:rFonts w:eastAsia="" w:eastAsiaTheme="minorEastAsia" w:ascii="Calibri" w:hAnsi="Calibri" w:cs=""/>
      <w:color w:val="auto"/>
      <w:kern w:val="0"/>
      <w:sz w:val="22"/>
      <w:szCs w:val="22"/>
      <w:lang w:eastAsia="ru-RU" w:val="ru-RU" w:bidi="ar-SA"/>
    </w:rPr>
  </w:style>
  <w:style w:type="character" w:styleId="DefaultParagraphFont" w:default="1">
    <w:name w:val="Default Paragraph Font"/>
    <w:uiPriority w:val="1"/>
    <w:semiHidden/>
    <w:unhideWhenUsed/>
    <w:qFormat/>
    <w:rPr/>
  </w:style>
  <w:style w:type="character" w:styleId="S2" w:customStyle="1">
    <w:name w:val="s2"/>
    <w:basedOn w:val="DefaultParagraphFont"/>
    <w:qFormat/>
    <w:rsid w:val="006d63e7"/>
    <w:rPr/>
  </w:style>
  <w:style w:type="character" w:styleId="FontStyle88" w:customStyle="1">
    <w:name w:val="Font Style88"/>
    <w:basedOn w:val="DefaultParagraphFont"/>
    <w:qFormat/>
    <w:rsid w:val="003576cb"/>
    <w:rPr>
      <w:rFonts w:ascii="Times New Roman" w:hAnsi="Times New Roman" w:cs="Times New Roman"/>
      <w:sz w:val="18"/>
      <w:szCs w:val="18"/>
    </w:rPr>
  </w:style>
  <w:style w:type="character" w:styleId="Style14" w:customStyle="1">
    <w:name w:val="Верхний колонтитул Знак"/>
    <w:basedOn w:val="DefaultParagraphFont"/>
    <w:link w:val="a5"/>
    <w:uiPriority w:val="99"/>
    <w:qFormat/>
    <w:rsid w:val="005246e0"/>
    <w:rPr>
      <w:rFonts w:eastAsia="" w:eastAsiaTheme="minorEastAsia"/>
      <w:lang w:eastAsia="ru-RU"/>
    </w:rPr>
  </w:style>
  <w:style w:type="character" w:styleId="Style15" w:customStyle="1">
    <w:name w:val="Нижний колонтитул Знак"/>
    <w:basedOn w:val="DefaultParagraphFont"/>
    <w:link w:val="a7"/>
    <w:uiPriority w:val="99"/>
    <w:qFormat/>
    <w:rsid w:val="005246e0"/>
    <w:rPr>
      <w:rFonts w:eastAsia="" w:eastAsiaTheme="minorEastAsia"/>
      <w:lang w:eastAsia="ru-RU"/>
    </w:rPr>
  </w:style>
  <w:style w:type="character" w:styleId="Style16">
    <w:name w:val="Интернет-ссылка"/>
    <w:basedOn w:val="DefaultParagraphFont"/>
    <w:uiPriority w:val="99"/>
    <w:semiHidden/>
    <w:unhideWhenUsed/>
    <w:rsid w:val="00a132c8"/>
    <w:rPr>
      <w:color w:val="0000FF"/>
      <w:u w:val="single"/>
    </w:rPr>
  </w:style>
  <w:style w:type="character" w:styleId="Style17" w:customStyle="1">
    <w:name w:val="Текст выноски Знак"/>
    <w:basedOn w:val="DefaultParagraphFont"/>
    <w:link w:val="aa"/>
    <w:uiPriority w:val="99"/>
    <w:semiHidden/>
    <w:qFormat/>
    <w:rsid w:val="00066f65"/>
    <w:rPr>
      <w:rFonts w:ascii="Segoe UI" w:hAnsi="Segoe UI" w:eastAsia="" w:cs="Segoe UI" w:eastAsiaTheme="minorEastAsia"/>
      <w:sz w:val="18"/>
      <w:szCs w:val="18"/>
      <w:lang w:eastAsia="ru-RU"/>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ListParagraph">
    <w:name w:val="List Paragraph"/>
    <w:basedOn w:val="Normal"/>
    <w:uiPriority w:val="34"/>
    <w:qFormat/>
    <w:rsid w:val="003576cb"/>
    <w:pPr>
      <w:spacing w:lineRule="auto" w:line="240" w:before="0" w:after="0"/>
      <w:ind w:left="720" w:hanging="0"/>
      <w:contextualSpacing/>
    </w:pPr>
    <w:rPr>
      <w:rFonts w:ascii="Times New Roman" w:hAnsi="Times New Roman" w:eastAsia="Times New Roman" w:cs="Times New Roman"/>
      <w:sz w:val="24"/>
      <w:szCs w:val="24"/>
    </w:rPr>
  </w:style>
  <w:style w:type="paragraph" w:styleId="ConsPlusNormal" w:customStyle="1">
    <w:name w:val="ConsPlusNormal"/>
    <w:qFormat/>
    <w:rsid w:val="003576cb"/>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Style23">
    <w:name w:val="Верхний и нижний колонтитулы"/>
    <w:basedOn w:val="Normal"/>
    <w:qFormat/>
    <w:pPr/>
    <w:rPr/>
  </w:style>
  <w:style w:type="paragraph" w:styleId="Style24">
    <w:name w:val="Header"/>
    <w:basedOn w:val="Normal"/>
    <w:link w:val="a6"/>
    <w:uiPriority w:val="99"/>
    <w:unhideWhenUsed/>
    <w:rsid w:val="005246e0"/>
    <w:pPr>
      <w:tabs>
        <w:tab w:val="clear" w:pos="708"/>
        <w:tab w:val="center" w:pos="4677" w:leader="none"/>
        <w:tab w:val="right" w:pos="9355" w:leader="none"/>
      </w:tabs>
      <w:spacing w:lineRule="auto" w:line="240" w:before="0" w:after="0"/>
    </w:pPr>
    <w:rPr/>
  </w:style>
  <w:style w:type="paragraph" w:styleId="Style25">
    <w:name w:val="Footer"/>
    <w:basedOn w:val="Normal"/>
    <w:link w:val="a8"/>
    <w:uiPriority w:val="99"/>
    <w:unhideWhenUsed/>
    <w:rsid w:val="005246e0"/>
    <w:pPr>
      <w:tabs>
        <w:tab w:val="clear" w:pos="708"/>
        <w:tab w:val="center" w:pos="4677" w:leader="none"/>
        <w:tab w:val="right" w:pos="9355" w:leader="none"/>
      </w:tabs>
      <w:spacing w:lineRule="auto" w:line="240" w:before="0" w:after="0"/>
    </w:pPr>
    <w:rPr/>
  </w:style>
  <w:style w:type="paragraph" w:styleId="BalloonText">
    <w:name w:val="Balloon Text"/>
    <w:basedOn w:val="Normal"/>
    <w:link w:val="ab"/>
    <w:uiPriority w:val="99"/>
    <w:semiHidden/>
    <w:unhideWhenUsed/>
    <w:qFormat/>
    <w:rsid w:val="00066f65"/>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rsid w:val="003576cb"/>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F0834FD80F01765C21F9AEBE65B51E2480EFAB1793012FC6E312854AD09588FAC265EBB155914BA2539C76AAP9P7D" TargetMode="External"/><Relationship Id="rId3" Type="http://schemas.openxmlformats.org/officeDocument/2006/relationships/hyperlink" Target="consultantplus://offline/ref=F0834FD80F01765C21F9AEBE65B51E2480EFAB1798082BC8E31CD840D8CC84F8C56AB4A652D847A3539B7FPAP0D"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numbering.xml.rels><?xml version="1.0" encoding="UTF-8"?>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1690</TotalTime>
  <Application>LibreOffice/6.3.3.2$Windows_x86 LibreOffice_project/a64200df03143b798afd1ec74a12ab50359878ed</Application>
  <Pages>15</Pages>
  <Words>3745</Words>
  <Characters>25871</Characters>
  <CharactersWithSpaces>31314</CharactersWithSpaces>
  <Paragraphs>378</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2018-08-09T02:12:00Z</dcterms:created>
  <dc:creator>RePack by Diakov</dc:creator>
  <dc:description/>
  <dc:language>ru-RU</dc:language>
  <cp:lastModifiedBy/>
  <cp:lastPrinted>2018-10-08T02:27:00Z</cp:lastPrinted>
  <dcterms:modified xsi:type="dcterms:W3CDTF">2019-12-30T09:02:54Z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