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b/>
          <w:sz w:val="28"/>
          <w:szCs w:val="28"/>
        </w:rPr>
        <w:t>Отчет</w:t>
      </w:r>
    </w:p>
    <w:p>
      <w:pPr>
        <w:pStyle w:val="Normal"/>
        <w:jc w:val="center"/>
        <w:rPr>
          <w:b/>
          <w:b/>
          <w:sz w:val="28"/>
          <w:szCs w:val="28"/>
        </w:rPr>
      </w:pPr>
      <w:r>
        <w:rPr>
          <w:b/>
          <w:sz w:val="28"/>
          <w:szCs w:val="28"/>
        </w:rPr>
      </w:r>
    </w:p>
    <w:p>
      <w:pPr>
        <w:pStyle w:val="Normal"/>
        <w:jc w:val="center"/>
        <w:rPr>
          <w:b/>
          <w:b/>
          <w:sz w:val="28"/>
          <w:szCs w:val="28"/>
        </w:rPr>
      </w:pPr>
      <w:bookmarkStart w:id="0" w:name="__DdeLink__3687_1583237777"/>
      <w:r>
        <w:rPr>
          <w:b/>
          <w:sz w:val="28"/>
          <w:szCs w:val="28"/>
        </w:rPr>
        <w:t>по результатам проверки доходов, полученных от продажи права аренды земельных участков, доходов от предоставления в аренду земельных участков, проверка правильности начисления арендной платы за 2017 год, анализ управления земельными ресурсами.</w:t>
      </w:r>
      <w:bookmarkEnd w:id="0"/>
    </w:p>
    <w:p>
      <w:pPr>
        <w:pStyle w:val="Normal"/>
        <w:jc w:val="both"/>
        <w:rPr>
          <w:b/>
          <w:b/>
          <w:sz w:val="28"/>
          <w:szCs w:val="28"/>
        </w:rPr>
      </w:pPr>
      <w:r>
        <w:rPr>
          <w:b/>
          <w:sz w:val="28"/>
          <w:szCs w:val="28"/>
        </w:rPr>
      </w:r>
    </w:p>
    <w:p>
      <w:pPr>
        <w:pStyle w:val="Normal"/>
        <w:ind w:firstLine="709"/>
        <w:jc w:val="both"/>
        <w:rPr>
          <w:sz w:val="28"/>
          <w:szCs w:val="28"/>
        </w:rPr>
      </w:pPr>
      <w:r>
        <w:rPr>
          <w:b/>
          <w:sz w:val="28"/>
          <w:szCs w:val="28"/>
        </w:rPr>
        <w:t>На объекте:</w:t>
      </w:r>
      <w:r>
        <w:rPr>
          <w:sz w:val="28"/>
          <w:szCs w:val="28"/>
        </w:rPr>
        <w:t xml:space="preserve"> Комитет по управлению муниципальным имуществом города Канска.</w:t>
      </w:r>
    </w:p>
    <w:p>
      <w:pPr>
        <w:pStyle w:val="Normal"/>
        <w:rPr>
          <w:sz w:val="28"/>
          <w:szCs w:val="28"/>
        </w:rPr>
      </w:pPr>
      <w:r>
        <w:rPr>
          <w:sz w:val="28"/>
          <w:szCs w:val="28"/>
        </w:rPr>
      </w:r>
    </w:p>
    <w:p>
      <w:pPr>
        <w:pStyle w:val="Normal"/>
        <w:rPr>
          <w:sz w:val="28"/>
          <w:szCs w:val="28"/>
        </w:rPr>
      </w:pPr>
      <w:r>
        <w:rPr>
          <w:sz w:val="28"/>
          <w:szCs w:val="28"/>
        </w:rPr>
        <w:t>г. Канск                                                                                                01.09.2018 г.</w:t>
      </w:r>
    </w:p>
    <w:p>
      <w:pPr>
        <w:pStyle w:val="Normal"/>
        <w:jc w:val="both"/>
        <w:rPr>
          <w:sz w:val="28"/>
          <w:szCs w:val="28"/>
        </w:rPr>
      </w:pPr>
      <w:r>
        <w:rPr>
          <w:sz w:val="28"/>
          <w:szCs w:val="28"/>
        </w:rPr>
      </w:r>
    </w:p>
    <w:p>
      <w:pPr>
        <w:pStyle w:val="Normal"/>
        <w:ind w:firstLine="709"/>
        <w:jc w:val="both"/>
        <w:rPr>
          <w:sz w:val="28"/>
          <w:szCs w:val="28"/>
        </w:rPr>
      </w:pPr>
      <w:r>
        <w:rPr>
          <w:b/>
          <w:sz w:val="28"/>
          <w:szCs w:val="28"/>
        </w:rPr>
        <w:t>Основание</w:t>
      </w:r>
      <w:r>
        <w:rPr>
          <w:sz w:val="28"/>
          <w:szCs w:val="28"/>
        </w:rPr>
        <w:t xml:space="preserve"> для проведения контрольного мероприятия: пункт 2,2 раздела 2 Плана работы Контрольно-счетной комиссии города Канска на 2018 год, распоряжение о проведении совместного параллельного контрольного мероприятия от 22.05.2018 № 11.</w:t>
      </w:r>
    </w:p>
    <w:p>
      <w:pPr>
        <w:pStyle w:val="Normal"/>
        <w:ind w:firstLine="709"/>
        <w:jc w:val="both"/>
        <w:rPr>
          <w:sz w:val="28"/>
          <w:szCs w:val="28"/>
        </w:rPr>
      </w:pPr>
      <w:r>
        <w:rPr>
          <w:b/>
          <w:sz w:val="28"/>
          <w:szCs w:val="28"/>
        </w:rPr>
        <w:t>Предметы контрольного мероприятия</w:t>
      </w:r>
      <w:r>
        <w:rPr>
          <w:sz w:val="28"/>
          <w:szCs w:val="28"/>
        </w:rPr>
        <w:t xml:space="preserve">: </w:t>
      </w:r>
    </w:p>
    <w:p>
      <w:pPr>
        <w:pStyle w:val="Normal"/>
        <w:ind w:firstLine="709"/>
        <w:jc w:val="both"/>
        <w:rPr>
          <w:sz w:val="28"/>
          <w:szCs w:val="28"/>
        </w:rPr>
      </w:pPr>
      <w:r>
        <w:rPr>
          <w:b/>
          <w:sz w:val="28"/>
          <w:szCs w:val="28"/>
        </w:rPr>
        <w:t>Проверяемый период деятельности</w:t>
      </w:r>
      <w:r>
        <w:rPr>
          <w:sz w:val="28"/>
          <w:szCs w:val="28"/>
        </w:rPr>
        <w:t>: с 01.01.2017 по 31.12.2017.</w:t>
      </w:r>
    </w:p>
    <w:p>
      <w:pPr>
        <w:pStyle w:val="Normal"/>
        <w:ind w:firstLine="709"/>
        <w:jc w:val="both"/>
        <w:rPr>
          <w:b/>
          <w:b/>
          <w:sz w:val="28"/>
          <w:szCs w:val="28"/>
        </w:rPr>
      </w:pPr>
      <w:r>
        <w:rPr>
          <w:b/>
          <w:sz w:val="28"/>
          <w:szCs w:val="28"/>
        </w:rPr>
      </w:r>
    </w:p>
    <w:p>
      <w:pPr>
        <w:pStyle w:val="Normal"/>
        <w:ind w:firstLine="709"/>
        <w:jc w:val="both"/>
        <w:rPr>
          <w:sz w:val="28"/>
          <w:szCs w:val="28"/>
        </w:rPr>
      </w:pPr>
      <w:r>
        <w:rPr>
          <w:b/>
          <w:sz w:val="28"/>
          <w:szCs w:val="28"/>
        </w:rPr>
        <w:t>Цели контрольного мероприятия</w:t>
      </w:r>
      <w:r>
        <w:rPr>
          <w:sz w:val="28"/>
          <w:szCs w:val="28"/>
        </w:rPr>
        <w:t>:</w:t>
      </w:r>
    </w:p>
    <w:p>
      <w:pPr>
        <w:pStyle w:val="Normal"/>
        <w:jc w:val="both"/>
        <w:rPr>
          <w:sz w:val="28"/>
          <w:szCs w:val="28"/>
        </w:rPr>
      </w:pPr>
      <w:r>
        <w:rPr>
          <w:sz w:val="28"/>
          <w:szCs w:val="28"/>
        </w:rPr>
        <w:tab/>
        <w:t>Цель 1. Оценка реализации Комитет по управлению муниципальным имуществом города Канска полномочий по администрированию доходов бюджета от распоряжения объектами муниципальной собственности                       и земельными участками, собственность на которые не разграничена.</w:t>
      </w:r>
    </w:p>
    <w:p>
      <w:pPr>
        <w:pStyle w:val="Normal"/>
        <w:ind w:firstLine="709"/>
        <w:jc w:val="both"/>
        <w:rPr>
          <w:sz w:val="28"/>
          <w:szCs w:val="28"/>
        </w:rPr>
      </w:pPr>
      <w:r>
        <w:rPr>
          <w:sz w:val="28"/>
          <w:szCs w:val="28"/>
        </w:rPr>
        <w:t>Цель 2. Проверка неналоговых доходов за пользование земельными ресурсами.</w:t>
      </w:r>
    </w:p>
    <w:p>
      <w:pPr>
        <w:pStyle w:val="Normal"/>
        <w:ind w:firstLine="708"/>
        <w:jc w:val="both"/>
        <w:rPr>
          <w:sz w:val="28"/>
          <w:szCs w:val="28"/>
        </w:rPr>
      </w:pPr>
      <w:r>
        <w:rPr>
          <w:sz w:val="28"/>
          <w:szCs w:val="28"/>
        </w:rPr>
        <w:t>2.1. Проверка полноты и своевременности поступления в бюджет муниципального образования город Канска доходов от продажи земельных участков, доходов от продажи права аренды земельных участков, доходов                   от аренды земельных участков.</w:t>
      </w:r>
    </w:p>
    <w:p>
      <w:pPr>
        <w:pStyle w:val="Normal"/>
        <w:ind w:firstLine="708"/>
        <w:jc w:val="both"/>
        <w:rPr>
          <w:sz w:val="28"/>
          <w:szCs w:val="28"/>
        </w:rPr>
      </w:pPr>
      <w:r>
        <w:rPr>
          <w:sz w:val="28"/>
          <w:szCs w:val="28"/>
        </w:rPr>
        <w:t>2.2. Проверка правильности начисления арендной платы.</w:t>
      </w:r>
    </w:p>
    <w:p>
      <w:pPr>
        <w:pStyle w:val="Normal"/>
        <w:ind w:firstLine="708"/>
        <w:jc w:val="both"/>
        <w:rPr>
          <w:sz w:val="28"/>
          <w:szCs w:val="28"/>
        </w:rPr>
      </w:pPr>
      <w:r>
        <w:rPr>
          <w:sz w:val="28"/>
          <w:szCs w:val="28"/>
        </w:rPr>
        <w:t xml:space="preserve">2.3. Оценка претензионной работы.  </w:t>
      </w:r>
    </w:p>
    <w:p>
      <w:pPr>
        <w:pStyle w:val="Normal"/>
        <w:ind w:firstLine="709"/>
        <w:jc w:val="both"/>
        <w:rPr>
          <w:b/>
          <w:b/>
          <w:sz w:val="28"/>
          <w:szCs w:val="28"/>
        </w:rPr>
      </w:pPr>
      <w:r>
        <w:rPr>
          <w:b/>
          <w:sz w:val="28"/>
          <w:szCs w:val="28"/>
        </w:rPr>
      </w:r>
    </w:p>
    <w:p>
      <w:pPr>
        <w:pStyle w:val="Normal"/>
        <w:ind w:firstLine="709"/>
        <w:jc w:val="both"/>
        <w:rPr>
          <w:sz w:val="28"/>
          <w:szCs w:val="28"/>
        </w:rPr>
      </w:pPr>
      <w:r>
        <w:rPr>
          <w:b/>
          <w:sz w:val="28"/>
          <w:szCs w:val="28"/>
        </w:rPr>
        <w:t>Сроки проверки</w:t>
      </w:r>
      <w:r>
        <w:rPr>
          <w:sz w:val="28"/>
          <w:szCs w:val="28"/>
        </w:rPr>
        <w:t>: с 22.05.2017 по 01.09.2017.</w:t>
      </w:r>
    </w:p>
    <w:p>
      <w:pPr>
        <w:pStyle w:val="Normal"/>
        <w:ind w:firstLine="709"/>
        <w:jc w:val="both"/>
        <w:rPr>
          <w:b/>
          <w:b/>
          <w:bCs/>
          <w:sz w:val="28"/>
          <w:szCs w:val="28"/>
        </w:rPr>
      </w:pPr>
      <w:r>
        <w:rPr>
          <w:b/>
          <w:bCs/>
          <w:sz w:val="28"/>
          <w:szCs w:val="28"/>
        </w:rPr>
      </w:r>
    </w:p>
    <w:p>
      <w:pPr>
        <w:pStyle w:val="Normal"/>
        <w:ind w:firstLine="709"/>
        <w:jc w:val="both"/>
        <w:rPr>
          <w:sz w:val="28"/>
          <w:szCs w:val="28"/>
        </w:rPr>
      </w:pPr>
      <w:r>
        <w:rPr>
          <w:b/>
          <w:bCs/>
          <w:sz w:val="28"/>
          <w:szCs w:val="28"/>
        </w:rPr>
        <w:t>Должностные лица, ответственные за организационную деятельность в проверяемом периоде</w:t>
      </w:r>
      <w:r>
        <w:rPr>
          <w:b/>
          <w:sz w:val="28"/>
          <w:szCs w:val="28"/>
        </w:rPr>
        <w:t>:</w:t>
      </w:r>
      <w:r>
        <w:rPr>
          <w:sz w:val="28"/>
          <w:szCs w:val="28"/>
        </w:rPr>
        <w:t xml:space="preserve"> Букалов Александр Васильевич, руководитель Комитета по управлению муниципальным имуществом города Канска</w:t>
      </w:r>
    </w:p>
    <w:p>
      <w:pPr>
        <w:pStyle w:val="Normal"/>
        <w:ind w:firstLine="708"/>
        <w:jc w:val="both"/>
        <w:rPr>
          <w:b/>
          <w:b/>
          <w:sz w:val="28"/>
          <w:szCs w:val="28"/>
        </w:rPr>
      </w:pPr>
      <w:r>
        <w:rPr>
          <w:b/>
          <w:sz w:val="28"/>
          <w:szCs w:val="28"/>
        </w:rPr>
      </w:r>
    </w:p>
    <w:p>
      <w:pPr>
        <w:pStyle w:val="Normal"/>
        <w:ind w:firstLine="708"/>
        <w:jc w:val="both"/>
        <w:rPr>
          <w:sz w:val="28"/>
          <w:szCs w:val="28"/>
        </w:rPr>
      </w:pPr>
      <w:r>
        <w:rPr>
          <w:b/>
          <w:sz w:val="28"/>
          <w:szCs w:val="28"/>
        </w:rPr>
        <w:t>Краткая информация об объекте контрольного мероприятия:</w:t>
      </w:r>
      <w:r>
        <w:rPr>
          <w:sz w:val="28"/>
          <w:szCs w:val="28"/>
        </w:rPr>
        <w:t xml:space="preserve"> </w:t>
      </w:r>
    </w:p>
    <w:p>
      <w:pPr>
        <w:pStyle w:val="Normal"/>
        <w:ind w:firstLine="708"/>
        <w:jc w:val="both"/>
        <w:rPr>
          <w:sz w:val="28"/>
          <w:szCs w:val="28"/>
        </w:rPr>
      </w:pPr>
      <w:r>
        <w:rPr>
          <w:sz w:val="28"/>
          <w:szCs w:val="28"/>
        </w:rPr>
        <w:t>На основании Гражданского кодекса Российской Федерации, Бюджетного кодекса Российской Федерации, Земельным кодексом Российской Федерации, Устава города Канска, Решения Канского городского Совета депутатов «О положении о порядке управления собственностью города Канска»</w:t>
      </w:r>
    </w:p>
    <w:p>
      <w:pPr>
        <w:pStyle w:val="Normal"/>
        <w:jc w:val="both"/>
        <w:rPr>
          <w:sz w:val="28"/>
          <w:szCs w:val="28"/>
        </w:rPr>
      </w:pPr>
      <w:r>
        <w:rPr>
          <w:sz w:val="28"/>
          <w:szCs w:val="28"/>
        </w:rPr>
        <w:tab/>
        <w:t xml:space="preserve">Устав утвержден Решением Канского городского Совета депутатов                от 27.01.1998 № 47-9Р (ред. от 27.01.2011 № 14-86), зарегистрировано                      в Управлении Минюста РФ по Красноярскому краю 15.04.2009                                             № </w:t>
      </w:r>
      <w:r>
        <w:rPr>
          <w:sz w:val="28"/>
          <w:szCs w:val="28"/>
          <w:lang w:val="en-US"/>
        </w:rPr>
        <w:t>RU</w:t>
      </w:r>
      <w:r>
        <w:rPr>
          <w:sz w:val="28"/>
          <w:szCs w:val="28"/>
        </w:rPr>
        <w:t xml:space="preserve"> 243070002009001. </w:t>
      </w:r>
    </w:p>
    <w:p>
      <w:pPr>
        <w:pStyle w:val="Normal"/>
        <w:jc w:val="both"/>
        <w:rPr>
          <w:sz w:val="28"/>
          <w:szCs w:val="28"/>
        </w:rPr>
      </w:pPr>
      <w:r>
        <w:rPr>
          <w:sz w:val="28"/>
          <w:szCs w:val="28"/>
        </w:rPr>
        <w:tab/>
        <w:t>Полное наименование Комитет по управлению муниципальным имуществом города Канска (далее – КУМИ).</w:t>
      </w:r>
    </w:p>
    <w:p>
      <w:pPr>
        <w:pStyle w:val="Normal"/>
        <w:jc w:val="both"/>
        <w:rPr>
          <w:sz w:val="28"/>
          <w:szCs w:val="28"/>
        </w:rPr>
      </w:pPr>
      <w:r>
        <w:rPr>
          <w:sz w:val="28"/>
          <w:szCs w:val="28"/>
        </w:rPr>
        <w:tab/>
        <w:t>Учредителем и собственником имущества КУМИ является муниципальное образование город Канск. Функции и полномочия учредителя осуществляет Администрация города Канска Красноярского края.</w:t>
      </w:r>
    </w:p>
    <w:p>
      <w:pPr>
        <w:pStyle w:val="Normal"/>
        <w:jc w:val="both"/>
        <w:rPr>
          <w:sz w:val="28"/>
          <w:szCs w:val="28"/>
        </w:rPr>
      </w:pPr>
      <w:r>
        <w:rPr>
          <w:sz w:val="28"/>
          <w:szCs w:val="28"/>
        </w:rPr>
        <w:tab/>
        <w:t>От имени собственника имущества полномочия возложены                           на Администрацию города Канска Красноярского края.</w:t>
      </w:r>
    </w:p>
    <w:p>
      <w:pPr>
        <w:pStyle w:val="Normal"/>
        <w:jc w:val="both"/>
        <w:rPr>
          <w:sz w:val="28"/>
          <w:szCs w:val="28"/>
        </w:rPr>
      </w:pPr>
      <w:r>
        <w:rPr>
          <w:sz w:val="28"/>
          <w:szCs w:val="28"/>
        </w:rPr>
        <w:tab/>
        <w:t>Место нахождения КУМИ: 663600 Россия, Красноярский край,                       г. Канск, мкр. 4-ый Центральный, 22.</w:t>
      </w:r>
    </w:p>
    <w:p>
      <w:pPr>
        <w:pStyle w:val="Normal"/>
        <w:ind w:firstLine="708"/>
        <w:jc w:val="both"/>
        <w:rPr>
          <w:sz w:val="28"/>
          <w:szCs w:val="28"/>
        </w:rPr>
      </w:pPr>
      <w:r>
        <w:rPr>
          <w:sz w:val="28"/>
          <w:szCs w:val="28"/>
        </w:rPr>
        <w:t>КУМИ является юридическим лицом, имеет обособленное имущество на праве оперативного управления, самостоятельный баланс, лицевые счета, открытые в органах казначейства, и иные счета в соответствии                                     с действующим законодательством, круглую печать, штампы и фирменные бланки, может от своего имени приобретать и осуществлять имущественные и неимущественные права, нести обязанности, быть истцом и ответчиком                  в суде.</w:t>
      </w:r>
    </w:p>
    <w:p>
      <w:pPr>
        <w:pStyle w:val="Normal"/>
        <w:ind w:firstLine="708"/>
        <w:jc w:val="both"/>
        <w:rPr>
          <w:sz w:val="28"/>
          <w:szCs w:val="28"/>
        </w:rPr>
      </w:pPr>
      <w:r>
        <w:rPr>
          <w:sz w:val="28"/>
          <w:szCs w:val="28"/>
        </w:rPr>
        <w:t>Право юридического лица</w:t>
      </w:r>
      <w:r>
        <w:rPr/>
        <w:t xml:space="preserve"> </w:t>
      </w:r>
      <w:r>
        <w:rPr>
          <w:sz w:val="28"/>
          <w:szCs w:val="28"/>
        </w:rPr>
        <w:t>зарегистрировано в Межрайонной инспекции ФНС № 8 по Красноярскому краю, за основным регистрационным номером 1022401363324 от 12.09.1995 № 2089, с присвоением ИНН 245001001, свидетельство серии 24 № 002288410.</w:t>
      </w:r>
    </w:p>
    <w:p>
      <w:pPr>
        <w:pStyle w:val="Normal"/>
        <w:ind w:firstLine="708"/>
        <w:jc w:val="both"/>
        <w:rPr>
          <w:sz w:val="28"/>
          <w:szCs w:val="28"/>
        </w:rPr>
      </w:pPr>
      <w:r>
        <w:rPr>
          <w:sz w:val="28"/>
          <w:szCs w:val="28"/>
        </w:rPr>
        <w:t>Основными задачами КУМИ является:</w:t>
      </w:r>
    </w:p>
    <w:p>
      <w:pPr>
        <w:pStyle w:val="ListParagraph"/>
        <w:numPr>
          <w:ilvl w:val="0"/>
          <w:numId w:val="1"/>
        </w:numPr>
        <w:tabs>
          <w:tab w:val="clear" w:pos="708"/>
          <w:tab w:val="left" w:pos="993" w:leader="none"/>
        </w:tabs>
        <w:ind w:left="0" w:firstLine="709"/>
        <w:jc w:val="both"/>
        <w:rPr>
          <w:rFonts w:eastAsia="Calibri"/>
          <w:sz w:val="28"/>
          <w:szCs w:val="28"/>
        </w:rPr>
      </w:pPr>
      <w:r>
        <w:rPr>
          <w:rFonts w:eastAsia="Calibri"/>
          <w:sz w:val="28"/>
          <w:szCs w:val="28"/>
        </w:rPr>
        <w:t>обеспечение эффективного управления муниципальным имуществом, жилым и нежилым фондом, а также регулирование и контроль использования земельных участков, расположенных на территории города Канска;</w:t>
      </w:r>
    </w:p>
    <w:p>
      <w:pPr>
        <w:pStyle w:val="ListParagraph"/>
        <w:numPr>
          <w:ilvl w:val="0"/>
          <w:numId w:val="1"/>
        </w:numPr>
        <w:tabs>
          <w:tab w:val="clear" w:pos="708"/>
          <w:tab w:val="left" w:pos="993" w:leader="none"/>
        </w:tabs>
        <w:ind w:left="0" w:firstLine="709"/>
        <w:jc w:val="both"/>
        <w:rPr>
          <w:rFonts w:eastAsia="Calibri"/>
          <w:sz w:val="28"/>
          <w:szCs w:val="28"/>
        </w:rPr>
      </w:pPr>
      <w:r>
        <w:rPr>
          <w:rFonts w:eastAsia="Calibri"/>
          <w:sz w:val="28"/>
          <w:szCs w:val="28"/>
        </w:rPr>
        <w:t>подготовка проектов нормативно-правовых актов по регулированию использования муниципального движимого и недвижимого имущества,                 по перераспределению имущества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согласно законодательству;</w:t>
      </w:r>
    </w:p>
    <w:p>
      <w:pPr>
        <w:pStyle w:val="ListParagraph"/>
        <w:numPr>
          <w:ilvl w:val="0"/>
          <w:numId w:val="1"/>
        </w:numPr>
        <w:tabs>
          <w:tab w:val="clear" w:pos="708"/>
          <w:tab w:val="left" w:pos="993" w:leader="none"/>
        </w:tabs>
        <w:ind w:left="0" w:firstLine="709"/>
        <w:jc w:val="both"/>
        <w:rPr>
          <w:rFonts w:eastAsia="Calibri"/>
          <w:sz w:val="28"/>
          <w:szCs w:val="28"/>
        </w:rPr>
      </w:pPr>
      <w:r>
        <w:rPr>
          <w:rFonts w:eastAsia="Calibri"/>
          <w:sz w:val="28"/>
          <w:szCs w:val="28"/>
        </w:rPr>
        <w:t>реализация муниципальных программ;</w:t>
      </w:r>
    </w:p>
    <w:p>
      <w:pPr>
        <w:pStyle w:val="ListParagraph"/>
        <w:numPr>
          <w:ilvl w:val="0"/>
          <w:numId w:val="1"/>
        </w:numPr>
        <w:tabs>
          <w:tab w:val="clear" w:pos="708"/>
          <w:tab w:val="left" w:pos="993" w:leader="none"/>
        </w:tabs>
        <w:ind w:left="0" w:firstLine="709"/>
        <w:jc w:val="both"/>
        <w:rPr>
          <w:rFonts w:eastAsia="Calibri"/>
          <w:sz w:val="28"/>
          <w:szCs w:val="28"/>
        </w:rPr>
      </w:pPr>
      <w:r>
        <w:rPr>
          <w:rFonts w:eastAsia="Calibri"/>
          <w:sz w:val="28"/>
          <w:szCs w:val="28"/>
        </w:rPr>
        <w:t>разработка и внедрение современных информационных технологий, формирование базы данных и учет земельных участков, расположенных                   на территории города, ведение реестра муниципального имущества на основе новейшей компьютерной технологии и геоинформационных систем;</w:t>
      </w:r>
    </w:p>
    <w:p>
      <w:pPr>
        <w:pStyle w:val="ListParagraph"/>
        <w:numPr>
          <w:ilvl w:val="0"/>
          <w:numId w:val="1"/>
        </w:numPr>
        <w:tabs>
          <w:tab w:val="clear" w:pos="708"/>
          <w:tab w:val="left" w:pos="993" w:leader="none"/>
        </w:tabs>
        <w:ind w:left="0" w:firstLine="709"/>
        <w:jc w:val="both"/>
        <w:rPr>
          <w:rFonts w:eastAsia="Calibri"/>
          <w:sz w:val="28"/>
          <w:szCs w:val="28"/>
        </w:rPr>
      </w:pPr>
      <w:r>
        <w:rPr>
          <w:rFonts w:eastAsia="Calibri"/>
          <w:sz w:val="28"/>
          <w:szCs w:val="28"/>
        </w:rPr>
        <w:t>участие в формировании и обеспечение реализации муниципальных программ развития города по направлениям деятельности Комитета, в том числе программ и проектов в отношении муниципального имущества                      и земельных участков, расположенных на территории города Канска;</w:t>
      </w:r>
    </w:p>
    <w:p>
      <w:pPr>
        <w:pStyle w:val="ListParagraph"/>
        <w:numPr>
          <w:ilvl w:val="0"/>
          <w:numId w:val="1"/>
        </w:numPr>
        <w:tabs>
          <w:tab w:val="clear" w:pos="708"/>
          <w:tab w:val="left" w:pos="993" w:leader="none"/>
        </w:tabs>
        <w:ind w:left="0" w:firstLine="709"/>
        <w:jc w:val="both"/>
        <w:rPr>
          <w:rFonts w:eastAsia="Calibri"/>
          <w:sz w:val="28"/>
          <w:szCs w:val="28"/>
        </w:rPr>
      </w:pPr>
      <w:r>
        <w:rPr>
          <w:rFonts w:eastAsia="Calibri"/>
          <w:sz w:val="28"/>
          <w:szCs w:val="28"/>
        </w:rPr>
        <w:t>осуществление контроля за деятельностью муниципальных предприятий и учреждений в части использования муниципального имущества и земельных участков, расположенных на территории города Канска;</w:t>
      </w:r>
    </w:p>
    <w:p>
      <w:pPr>
        <w:pStyle w:val="ListParagraph"/>
        <w:numPr>
          <w:ilvl w:val="0"/>
          <w:numId w:val="1"/>
        </w:numPr>
        <w:tabs>
          <w:tab w:val="clear" w:pos="708"/>
          <w:tab w:val="left" w:pos="993" w:leader="none"/>
        </w:tabs>
        <w:ind w:left="0" w:firstLine="709"/>
        <w:jc w:val="both"/>
        <w:rPr>
          <w:rFonts w:eastAsia="Calibri"/>
          <w:sz w:val="28"/>
          <w:szCs w:val="28"/>
        </w:rPr>
      </w:pPr>
      <w:r>
        <w:rPr>
          <w:rFonts w:eastAsia="Calibri"/>
          <w:sz w:val="28"/>
          <w:szCs w:val="28"/>
        </w:rPr>
        <w:t>разработка предложений по эффективному использованию арендуемого муниципального имущества;</w:t>
      </w:r>
    </w:p>
    <w:p>
      <w:pPr>
        <w:pStyle w:val="ListParagraph"/>
        <w:numPr>
          <w:ilvl w:val="0"/>
          <w:numId w:val="1"/>
        </w:numPr>
        <w:tabs>
          <w:tab w:val="clear" w:pos="708"/>
          <w:tab w:val="left" w:pos="993" w:leader="none"/>
        </w:tabs>
        <w:ind w:left="0" w:firstLine="709"/>
        <w:jc w:val="both"/>
        <w:rPr>
          <w:rFonts w:eastAsia="Calibri"/>
          <w:sz w:val="28"/>
          <w:szCs w:val="28"/>
        </w:rPr>
      </w:pPr>
      <w:r>
        <w:rPr>
          <w:rFonts w:eastAsia="Calibri"/>
          <w:sz w:val="28"/>
          <w:szCs w:val="28"/>
        </w:rPr>
        <w:t>обеспечение законности, информационной открытости                                  в деятельности Комитета;</w:t>
      </w:r>
    </w:p>
    <w:p>
      <w:pPr>
        <w:pStyle w:val="ListParagraph"/>
        <w:numPr>
          <w:ilvl w:val="0"/>
          <w:numId w:val="1"/>
        </w:numPr>
        <w:tabs>
          <w:tab w:val="clear" w:pos="708"/>
          <w:tab w:val="left" w:pos="993" w:leader="none"/>
        </w:tabs>
        <w:ind w:left="0" w:firstLine="709"/>
        <w:jc w:val="both"/>
        <w:rPr>
          <w:rFonts w:eastAsia="Calibri"/>
          <w:sz w:val="28"/>
          <w:szCs w:val="28"/>
        </w:rPr>
      </w:pPr>
      <w:r>
        <w:rPr>
          <w:rFonts w:eastAsia="Calibri"/>
          <w:sz w:val="28"/>
          <w:szCs w:val="28"/>
        </w:rPr>
        <w:t>обеспечение контроля за целевым использованием бюджетных средств Комитета.</w:t>
      </w:r>
    </w:p>
    <w:p>
      <w:pPr>
        <w:pStyle w:val="Normal"/>
        <w:jc w:val="both"/>
        <w:rPr>
          <w:sz w:val="28"/>
          <w:szCs w:val="28"/>
        </w:rPr>
      </w:pPr>
      <w:r>
        <w:rPr>
          <w:sz w:val="28"/>
          <w:szCs w:val="28"/>
        </w:rPr>
      </w:r>
    </w:p>
    <w:p>
      <w:pPr>
        <w:pStyle w:val="Normal"/>
        <w:ind w:firstLine="709"/>
        <w:jc w:val="both"/>
        <w:rPr>
          <w:b/>
          <w:b/>
          <w:sz w:val="28"/>
          <w:szCs w:val="28"/>
        </w:rPr>
      </w:pPr>
      <w:r>
        <w:rPr>
          <w:b/>
          <w:sz w:val="28"/>
          <w:szCs w:val="28"/>
        </w:rPr>
        <w:t>В ходе контрольного мероприятия установлено следующее:</w:t>
      </w:r>
    </w:p>
    <w:p>
      <w:pPr>
        <w:pStyle w:val="Normal"/>
        <w:ind w:firstLine="709"/>
        <w:jc w:val="both"/>
        <w:rPr>
          <w:b/>
          <w:b/>
          <w:sz w:val="28"/>
          <w:szCs w:val="28"/>
        </w:rPr>
      </w:pPr>
      <w:r>
        <w:rPr>
          <w:b/>
          <w:sz w:val="28"/>
          <w:szCs w:val="28"/>
        </w:rPr>
      </w:r>
    </w:p>
    <w:p>
      <w:pPr>
        <w:pStyle w:val="Normal"/>
        <w:ind w:firstLine="709"/>
        <w:jc w:val="both"/>
        <w:rPr>
          <w:sz w:val="28"/>
          <w:szCs w:val="28"/>
        </w:rPr>
      </w:pPr>
      <w:r>
        <w:rPr>
          <w:b/>
          <w:sz w:val="28"/>
          <w:szCs w:val="28"/>
        </w:rPr>
        <w:t xml:space="preserve">Цель 1. </w:t>
      </w:r>
      <w:r>
        <w:rPr>
          <w:sz w:val="28"/>
          <w:szCs w:val="28"/>
        </w:rPr>
        <w:t>Оценка реализации Комитет по управлению муниципальным имуществом города Канска полномочий по администрированию доходов бюджета от распоряжения объектами муниципальной собственности                        и земельными участками, собственность на которые не разграничена.</w:t>
      </w:r>
    </w:p>
    <w:p>
      <w:pPr>
        <w:pStyle w:val="Normal"/>
        <w:ind w:firstLine="708"/>
        <w:jc w:val="both"/>
        <w:rPr>
          <w:b/>
          <w:b/>
          <w:sz w:val="28"/>
          <w:szCs w:val="28"/>
        </w:rPr>
      </w:pPr>
      <w:r>
        <w:rPr>
          <w:b/>
          <w:sz w:val="28"/>
          <w:szCs w:val="28"/>
        </w:rPr>
        <w:t>Нормативно-правовая основа проверки:</w:t>
      </w:r>
    </w:p>
    <w:p>
      <w:pPr>
        <w:pStyle w:val="Normal"/>
        <w:ind w:firstLine="709"/>
        <w:jc w:val="both"/>
        <w:rPr>
          <w:color w:val="000000" w:themeColor="text1"/>
          <w:sz w:val="28"/>
          <w:szCs w:val="28"/>
        </w:rPr>
      </w:pPr>
      <w:r>
        <w:rPr>
          <w:sz w:val="28"/>
          <w:szCs w:val="28"/>
        </w:rPr>
        <w:t xml:space="preserve">-  Земельный кодекс </w:t>
      </w:r>
      <w:r>
        <w:rPr>
          <w:color w:val="000000" w:themeColor="text1"/>
          <w:sz w:val="28"/>
          <w:szCs w:val="28"/>
        </w:rPr>
        <w:t xml:space="preserve">Российской Федерации; </w:t>
      </w:r>
    </w:p>
    <w:p>
      <w:pPr>
        <w:pStyle w:val="Normal"/>
        <w:ind w:firstLine="709"/>
        <w:jc w:val="both"/>
        <w:rPr>
          <w:color w:val="000000" w:themeColor="text1"/>
          <w:sz w:val="28"/>
          <w:szCs w:val="28"/>
        </w:rPr>
      </w:pPr>
      <w:r>
        <w:rPr>
          <w:color w:val="000000" w:themeColor="text1"/>
          <w:sz w:val="28"/>
          <w:szCs w:val="28"/>
        </w:rPr>
        <w:t>-  Бюджетный кодекс Российской Федерации;</w:t>
      </w:r>
    </w:p>
    <w:p>
      <w:pPr>
        <w:pStyle w:val="Normal"/>
        <w:ind w:firstLine="709"/>
        <w:jc w:val="both"/>
        <w:rPr>
          <w:color w:val="000000" w:themeColor="text1"/>
          <w:sz w:val="28"/>
          <w:szCs w:val="28"/>
        </w:rPr>
      </w:pPr>
      <w:r>
        <w:rPr>
          <w:color w:val="000000" w:themeColor="text1"/>
          <w:sz w:val="28"/>
          <w:szCs w:val="28"/>
        </w:rPr>
        <w:t>-  Гражданский кодекс Российской Федерации;</w:t>
      </w:r>
    </w:p>
    <w:p>
      <w:pPr>
        <w:pStyle w:val="Normal"/>
        <w:ind w:firstLine="709"/>
        <w:jc w:val="both"/>
        <w:rPr>
          <w:color w:val="000000" w:themeColor="text1"/>
          <w:sz w:val="28"/>
          <w:szCs w:val="28"/>
        </w:rPr>
      </w:pPr>
      <w:r>
        <w:rPr>
          <w:color w:val="000000" w:themeColor="text1"/>
          <w:sz w:val="28"/>
          <w:szCs w:val="28"/>
        </w:rPr>
        <w:t>-  Жилищный кодек Российской Федерации;</w:t>
      </w:r>
    </w:p>
    <w:p>
      <w:pPr>
        <w:pStyle w:val="Normal"/>
        <w:ind w:firstLine="709"/>
        <w:jc w:val="both"/>
        <w:rPr>
          <w:sz w:val="28"/>
          <w:szCs w:val="28"/>
        </w:rPr>
      </w:pPr>
      <w:r>
        <w:rPr>
          <w:sz w:val="28"/>
          <w:szCs w:val="28"/>
        </w:rPr>
        <w:t xml:space="preserve">- Федеральный закон от 06.10.2003 № 137-ФЗ </w:t>
      </w:r>
      <w:r>
        <w:rPr>
          <w:bCs/>
          <w:sz w:val="28"/>
          <w:szCs w:val="28"/>
        </w:rPr>
        <w:t>«Об общих принципах организации местного самоуправления в Российской Федерации»;</w:t>
      </w:r>
    </w:p>
    <w:p>
      <w:pPr>
        <w:pStyle w:val="Normal"/>
        <w:ind w:firstLine="709"/>
        <w:jc w:val="both"/>
        <w:rPr>
          <w:sz w:val="28"/>
          <w:szCs w:val="28"/>
        </w:rPr>
      </w:pPr>
      <w:r>
        <w:rPr>
          <w:bCs/>
          <w:sz w:val="28"/>
          <w:szCs w:val="28"/>
        </w:rPr>
        <w:t xml:space="preserve">- Федеральный закон от 21.12.2001 № 178-ФЗ «О приватизации государственного и муниципального имущества» </w:t>
      </w:r>
    </w:p>
    <w:p>
      <w:pPr>
        <w:pStyle w:val="Normal"/>
        <w:ind w:firstLine="709"/>
        <w:jc w:val="both"/>
        <w:rPr>
          <w:sz w:val="28"/>
          <w:szCs w:val="28"/>
        </w:rPr>
      </w:pPr>
      <w:r>
        <w:rPr>
          <w:sz w:val="28"/>
          <w:szCs w:val="28"/>
        </w:rPr>
        <w:t>- Федеральный закон от 25.10.2001 № 137-ФЗ «О введении в действие Земельного кодекса Российской Федерации»;</w:t>
      </w:r>
    </w:p>
    <w:p>
      <w:pPr>
        <w:pStyle w:val="Normal"/>
        <w:ind w:firstLine="709"/>
        <w:jc w:val="both"/>
        <w:rPr>
          <w:sz w:val="28"/>
          <w:szCs w:val="28"/>
        </w:rPr>
      </w:pPr>
      <w:r>
        <w:rPr>
          <w:sz w:val="28"/>
          <w:szCs w:val="28"/>
        </w:rPr>
        <w:t>- Федеральный закон от 26.07.2006 № 135-ФЗ «О защите конкуренции»;</w:t>
      </w:r>
    </w:p>
    <w:p>
      <w:pPr>
        <w:pStyle w:val="Normal"/>
        <w:ind w:firstLine="709"/>
        <w:jc w:val="both"/>
        <w:rPr>
          <w:sz w:val="28"/>
          <w:szCs w:val="28"/>
        </w:rPr>
      </w:pPr>
      <w:r>
        <w:rPr>
          <w:sz w:val="28"/>
          <w:szCs w:val="28"/>
        </w:rPr>
        <w:t>- Федеральный закон от 21.07.1997 № 122-ФЗ «О государственной регистрации прав на недвижимое имущество и сделок с ним»;</w:t>
      </w:r>
    </w:p>
    <w:p>
      <w:pPr>
        <w:pStyle w:val="Normal"/>
        <w:ind w:firstLine="709"/>
        <w:jc w:val="both"/>
        <w:rPr>
          <w:color w:val="000000" w:themeColor="text1"/>
          <w:sz w:val="28"/>
          <w:szCs w:val="28"/>
        </w:rPr>
      </w:pPr>
      <w:r>
        <w:rPr>
          <w:color w:val="000000" w:themeColor="text1"/>
          <w:sz w:val="28"/>
          <w:szCs w:val="28"/>
        </w:rPr>
        <w:t>- Федеральный закон от 27.07.2010 № 210-ФЗ «Об организации предоставления государственных и муниципальных услуг»;</w:t>
      </w:r>
    </w:p>
    <w:p>
      <w:pPr>
        <w:pStyle w:val="Normal"/>
        <w:ind w:firstLine="709"/>
        <w:jc w:val="both"/>
        <w:rPr>
          <w:sz w:val="28"/>
          <w:szCs w:val="28"/>
        </w:rPr>
      </w:pPr>
      <w:r>
        <w:rPr>
          <w:sz w:val="28"/>
          <w:szCs w:val="28"/>
        </w:rPr>
        <w:t xml:space="preserve">- </w:t>
      </w:r>
      <w:r>
        <w:rPr>
          <w:bCs/>
          <w:sz w:val="28"/>
          <w:szCs w:val="28"/>
        </w:rPr>
        <w:t>Федеральный закон от 21.07.2005 № 115-ФЗ «О концессионных соглашениях»</w:t>
      </w:r>
    </w:p>
    <w:p>
      <w:pPr>
        <w:pStyle w:val="Normal"/>
        <w:ind w:firstLine="709"/>
        <w:jc w:val="both"/>
        <w:rPr>
          <w:sz w:val="28"/>
          <w:szCs w:val="28"/>
        </w:rPr>
      </w:pPr>
      <w:r>
        <w:rPr>
          <w:sz w:val="28"/>
          <w:szCs w:val="28"/>
        </w:rPr>
        <w:t>- Постановление Правительства РФ от 11.11.2002 № 808                                           «Об организации и проведении торгов по продаже находящихся в государственной                                  и муниципальной собственности земельных участков и права на заключение договоров аренды»;</w:t>
      </w:r>
    </w:p>
    <w:p>
      <w:pPr>
        <w:pStyle w:val="Normal"/>
        <w:ind w:firstLine="709"/>
        <w:jc w:val="both"/>
        <w:rPr>
          <w:sz w:val="28"/>
          <w:szCs w:val="28"/>
        </w:rPr>
      </w:pPr>
      <w:r>
        <w:rPr>
          <w:sz w:val="28"/>
          <w:szCs w:val="28"/>
        </w:rPr>
        <w:t>- Закон Красноярского края от 04.12.2008 № 7-2542 «О регулировании земельных отношений в Красноярском крае»;</w:t>
      </w:r>
    </w:p>
    <w:p>
      <w:pPr>
        <w:pStyle w:val="Normal"/>
        <w:ind w:firstLine="709"/>
        <w:jc w:val="both"/>
        <w:rPr>
          <w:sz w:val="28"/>
          <w:szCs w:val="28"/>
        </w:rPr>
      </w:pPr>
      <w:r>
        <w:rPr>
          <w:sz w:val="28"/>
          <w:szCs w:val="28"/>
        </w:rPr>
        <w:t>- Постановление Правительства Красноярского края от 22.11.2011                     № 708-п «Об утверждении результатов государственной кадастровой оценке земель населенных пунктов Красноярского края»;</w:t>
      </w:r>
    </w:p>
    <w:p>
      <w:pPr>
        <w:pStyle w:val="Normal"/>
        <w:ind w:firstLine="709"/>
        <w:jc w:val="both"/>
        <w:rPr>
          <w:sz w:val="28"/>
          <w:szCs w:val="28"/>
        </w:rPr>
      </w:pPr>
      <w:r>
        <w:rPr>
          <w:color w:val="000000" w:themeColor="text1"/>
          <w:sz w:val="28"/>
          <w:szCs w:val="28"/>
        </w:rPr>
        <w:t xml:space="preserve">- Постановление Правительства Красноярского края от 06.05.2009                        № 241-п </w:t>
      </w:r>
      <w:r>
        <w:rPr>
          <w:sz w:val="28"/>
          <w:szCs w:val="28"/>
        </w:rPr>
        <w:t xml:space="preserve">«Об утверждении порядка определения размера арендной платы                    за аренду земельных участков, находящихся в государственной собственности Красноярского края, и порядка, условий и сроков внесения арендной платы за земельные участки, находящиеся в государственной собственности Красноярского края»;   </w:t>
      </w:r>
    </w:p>
    <w:p>
      <w:pPr>
        <w:pStyle w:val="Normal"/>
        <w:ind w:firstLine="709"/>
        <w:jc w:val="both"/>
        <w:rPr>
          <w:sz w:val="28"/>
          <w:szCs w:val="28"/>
        </w:rPr>
      </w:pPr>
      <w:r>
        <w:rPr>
          <w:sz w:val="28"/>
          <w:szCs w:val="28"/>
        </w:rPr>
        <w:t>- Решение Канского городского Совета депутатов от 21.10.2010 № 9-45 (ред. 21.03.2018) «Об утверждении правил землепользования и застройки муниципального образования города Канска»;</w:t>
      </w:r>
    </w:p>
    <w:p>
      <w:pPr>
        <w:pStyle w:val="Normal"/>
        <w:ind w:firstLine="709"/>
        <w:jc w:val="both"/>
        <w:rPr>
          <w:sz w:val="28"/>
          <w:szCs w:val="28"/>
        </w:rPr>
      </w:pPr>
      <w:r>
        <w:rPr>
          <w:sz w:val="28"/>
          <w:szCs w:val="28"/>
        </w:rPr>
        <w:t>- Решение Канского городского Совета депутатов от 16.02.2011 № 15-91    «Об утверждении Положения о порядке управления и распоряжения муниципальной собственностью города Канска» (ред. 24.04.2013);</w:t>
      </w:r>
    </w:p>
    <w:p>
      <w:pPr>
        <w:pStyle w:val="Normal"/>
        <w:ind w:firstLine="709"/>
        <w:jc w:val="both"/>
        <w:rPr>
          <w:sz w:val="28"/>
          <w:szCs w:val="28"/>
        </w:rPr>
      </w:pPr>
      <w:r>
        <w:rPr>
          <w:sz w:val="28"/>
          <w:szCs w:val="28"/>
        </w:rPr>
        <w:t xml:space="preserve">- Решение Канского городского Совета депутатов от 03.07.2015    № 1035 «Об утверждении порядка определения размера арендной платы за земельные участки из земель, находящихся в муниципальной собственности, и порядка, условий и сроков внесения арендной платы за земельные из земель, находящихся в муниципальной собственности»;          </w:t>
      </w:r>
    </w:p>
    <w:p>
      <w:pPr>
        <w:pStyle w:val="Normal"/>
        <w:ind w:firstLine="708"/>
        <w:jc w:val="both"/>
        <w:rPr>
          <w:sz w:val="28"/>
          <w:szCs w:val="28"/>
        </w:rPr>
      </w:pPr>
      <w:r>
        <w:rPr>
          <w:sz w:val="28"/>
          <w:szCs w:val="28"/>
        </w:rPr>
        <w:t>В соответствии с Федеральным законом от 25.10.2001 № 136-ФЗ                          «О введении в действие Земельного кодекса Российской Федерации» право распоряжения землями, государственная собственность на которые                                 не разграничена, передано органам местного самоуправления.</w:t>
      </w:r>
    </w:p>
    <w:p>
      <w:pPr>
        <w:pStyle w:val="Normal"/>
        <w:ind w:firstLine="708"/>
        <w:jc w:val="both"/>
        <w:rPr>
          <w:sz w:val="28"/>
          <w:szCs w:val="28"/>
        </w:rPr>
      </w:pPr>
      <w:r>
        <w:rPr>
          <w:sz w:val="28"/>
          <w:szCs w:val="28"/>
        </w:rPr>
        <w:t xml:space="preserve">Положением о порядке управления и распоряжения муниципальной собственностью города Канска полномочия в сфере управления                               и распоряжения земельными участками наделен Комитет по управлению муниципальным имуществом города Канска.  </w:t>
      </w:r>
    </w:p>
    <w:p>
      <w:pPr>
        <w:pStyle w:val="Normal"/>
        <w:ind w:firstLine="708"/>
        <w:jc w:val="both"/>
        <w:rPr>
          <w:sz w:val="28"/>
          <w:szCs w:val="28"/>
        </w:rPr>
      </w:pPr>
      <w:r>
        <w:rPr>
          <w:sz w:val="28"/>
          <w:szCs w:val="28"/>
        </w:rPr>
      </w:r>
    </w:p>
    <w:p>
      <w:pPr>
        <w:pStyle w:val="Normal"/>
        <w:jc w:val="center"/>
        <w:rPr>
          <w:b/>
          <w:b/>
          <w:i/>
          <w:i/>
          <w:sz w:val="28"/>
          <w:szCs w:val="28"/>
        </w:rPr>
      </w:pPr>
      <w:r>
        <w:rPr>
          <w:b/>
          <w:i/>
          <w:sz w:val="28"/>
          <w:szCs w:val="28"/>
        </w:rPr>
        <w:t>1.1. Оценка условий управления земельными ресурсами.</w:t>
      </w:r>
    </w:p>
    <w:p>
      <w:pPr>
        <w:pStyle w:val="Normal"/>
        <w:jc w:val="center"/>
        <w:rPr>
          <w:b/>
          <w:b/>
          <w:i/>
          <w:i/>
          <w:sz w:val="28"/>
          <w:szCs w:val="28"/>
        </w:rPr>
      </w:pPr>
      <w:r>
        <w:rPr>
          <w:b/>
          <w:i/>
          <w:sz w:val="28"/>
          <w:szCs w:val="28"/>
        </w:rPr>
      </w:r>
    </w:p>
    <w:p>
      <w:pPr>
        <w:pStyle w:val="Normal"/>
        <w:tabs>
          <w:tab w:val="clear" w:pos="708"/>
          <w:tab w:val="left" w:pos="0" w:leader="none"/>
        </w:tabs>
        <w:jc w:val="both"/>
        <w:rPr>
          <w:sz w:val="28"/>
          <w:szCs w:val="28"/>
        </w:rPr>
      </w:pPr>
      <w:r>
        <w:rPr>
          <w:sz w:val="28"/>
          <w:szCs w:val="28"/>
        </w:rPr>
        <w:tab/>
        <w:t xml:space="preserve">При сопоставлении информационных данных о наличии земельных ресурсов, предоставленных Росреестром и Комитет по управлению муниципальным имуществом города Канска по состоянию на 01.01.2018 год установлено следующие:  </w:t>
      </w:r>
    </w:p>
    <w:p>
      <w:pPr>
        <w:pStyle w:val="Normal"/>
        <w:tabs>
          <w:tab w:val="clear" w:pos="708"/>
          <w:tab w:val="left" w:pos="0" w:leader="none"/>
        </w:tabs>
        <w:jc w:val="right"/>
        <w:rPr/>
      </w:pPr>
      <w:r>
        <w:rPr/>
        <w:t>(таблица 1)</w:t>
      </w:r>
    </w:p>
    <w:tbl>
      <w:tblPr>
        <w:tblStyle w:val="aa"/>
        <w:tblW w:w="9344" w:type="dxa"/>
        <w:jc w:val="left"/>
        <w:tblInd w:w="0" w:type="dxa"/>
        <w:tblCellMar>
          <w:top w:w="0" w:type="dxa"/>
          <w:left w:w="108" w:type="dxa"/>
          <w:bottom w:w="0" w:type="dxa"/>
          <w:right w:w="108" w:type="dxa"/>
        </w:tblCellMar>
        <w:tblLook w:firstRow="1" w:noVBand="1" w:lastRow="0" w:firstColumn="1" w:lastColumn="0" w:noHBand="0" w:val="04a0"/>
      </w:tblPr>
      <w:tblGrid>
        <w:gridCol w:w="667"/>
        <w:gridCol w:w="3064"/>
        <w:gridCol w:w="2049"/>
        <w:gridCol w:w="2052"/>
        <w:gridCol w:w="1512"/>
      </w:tblGrid>
      <w:tr>
        <w:trPr/>
        <w:tc>
          <w:tcPr>
            <w:tcW w:w="667" w:type="dxa"/>
            <w:tcBorders/>
            <w:shd w:fill="auto" w:val="clear"/>
          </w:tcPr>
          <w:p>
            <w:pPr>
              <w:pStyle w:val="Normal"/>
              <w:tabs>
                <w:tab w:val="clear" w:pos="708"/>
                <w:tab w:val="left" w:pos="0" w:leader="none"/>
              </w:tabs>
              <w:jc w:val="both"/>
              <w:rPr/>
            </w:pPr>
            <w:r>
              <w:rPr/>
              <w:t>№</w:t>
            </w:r>
          </w:p>
          <w:p>
            <w:pPr>
              <w:pStyle w:val="Normal"/>
              <w:tabs>
                <w:tab w:val="clear" w:pos="708"/>
                <w:tab w:val="left" w:pos="0" w:leader="none"/>
              </w:tabs>
              <w:jc w:val="both"/>
              <w:rPr/>
            </w:pPr>
            <w:r>
              <w:rPr/>
              <w:t>п/п</w:t>
            </w:r>
          </w:p>
        </w:tc>
        <w:tc>
          <w:tcPr>
            <w:tcW w:w="3064" w:type="dxa"/>
            <w:tcBorders/>
            <w:shd w:fill="auto" w:val="clear"/>
          </w:tcPr>
          <w:p>
            <w:pPr>
              <w:pStyle w:val="Normal"/>
              <w:tabs>
                <w:tab w:val="clear" w:pos="708"/>
                <w:tab w:val="left" w:pos="0" w:leader="none"/>
              </w:tabs>
              <w:jc w:val="both"/>
              <w:rPr/>
            </w:pPr>
            <w:r>
              <w:rPr/>
              <w:t>показатели</w:t>
            </w:r>
          </w:p>
        </w:tc>
        <w:tc>
          <w:tcPr>
            <w:tcW w:w="2049" w:type="dxa"/>
            <w:tcBorders/>
            <w:shd w:fill="auto" w:val="clear"/>
          </w:tcPr>
          <w:p>
            <w:pPr>
              <w:pStyle w:val="Normal"/>
              <w:tabs>
                <w:tab w:val="clear" w:pos="708"/>
                <w:tab w:val="left" w:pos="0" w:leader="none"/>
              </w:tabs>
              <w:jc w:val="both"/>
              <w:rPr/>
            </w:pPr>
            <w:r>
              <w:rPr/>
              <w:t>по данным</w:t>
            </w:r>
          </w:p>
          <w:p>
            <w:pPr>
              <w:pStyle w:val="Normal"/>
              <w:tabs>
                <w:tab w:val="clear" w:pos="708"/>
                <w:tab w:val="left" w:pos="0" w:leader="none"/>
              </w:tabs>
              <w:jc w:val="both"/>
              <w:rPr/>
            </w:pPr>
            <w:r>
              <w:rPr/>
              <w:t xml:space="preserve">Росреестра </w:t>
            </w:r>
          </w:p>
          <w:p>
            <w:pPr>
              <w:pStyle w:val="Normal"/>
              <w:tabs>
                <w:tab w:val="clear" w:pos="708"/>
                <w:tab w:val="left" w:pos="0" w:leader="none"/>
              </w:tabs>
              <w:jc w:val="both"/>
              <w:rPr/>
            </w:pPr>
            <w:r>
              <w:rPr/>
              <w:t xml:space="preserve"> </w:t>
            </w:r>
            <w:r>
              <w:rPr/>
              <w:t>(га)</w:t>
            </w:r>
          </w:p>
        </w:tc>
        <w:tc>
          <w:tcPr>
            <w:tcW w:w="2052" w:type="dxa"/>
            <w:tcBorders/>
            <w:shd w:fill="auto" w:val="clear"/>
          </w:tcPr>
          <w:p>
            <w:pPr>
              <w:pStyle w:val="Normal"/>
              <w:tabs>
                <w:tab w:val="clear" w:pos="708"/>
                <w:tab w:val="left" w:pos="0" w:leader="none"/>
              </w:tabs>
              <w:jc w:val="both"/>
              <w:rPr/>
            </w:pPr>
            <w:r>
              <w:rPr/>
              <w:t>по данным</w:t>
            </w:r>
          </w:p>
          <w:p>
            <w:pPr>
              <w:pStyle w:val="Normal"/>
              <w:tabs>
                <w:tab w:val="clear" w:pos="708"/>
                <w:tab w:val="left" w:pos="0" w:leader="none"/>
              </w:tabs>
              <w:jc w:val="both"/>
              <w:rPr/>
            </w:pPr>
            <w:r>
              <w:rPr/>
              <w:t>КУМИ (га)</w:t>
            </w:r>
          </w:p>
        </w:tc>
        <w:tc>
          <w:tcPr>
            <w:tcW w:w="1512" w:type="dxa"/>
            <w:tcBorders/>
            <w:shd w:fill="auto" w:val="clear"/>
          </w:tcPr>
          <w:p>
            <w:pPr>
              <w:pStyle w:val="Normal"/>
              <w:tabs>
                <w:tab w:val="clear" w:pos="708"/>
                <w:tab w:val="left" w:pos="0" w:leader="none"/>
              </w:tabs>
              <w:jc w:val="both"/>
              <w:rPr/>
            </w:pPr>
            <w:r>
              <w:rPr/>
              <w:t>Отклоне-</w:t>
            </w:r>
          </w:p>
          <w:p>
            <w:pPr>
              <w:pStyle w:val="Normal"/>
              <w:tabs>
                <w:tab w:val="clear" w:pos="708"/>
                <w:tab w:val="left" w:pos="0" w:leader="none"/>
              </w:tabs>
              <w:jc w:val="both"/>
              <w:rPr/>
            </w:pPr>
            <w:r>
              <w:rPr/>
              <w:t>ния</w:t>
            </w:r>
          </w:p>
          <w:p>
            <w:pPr>
              <w:pStyle w:val="Normal"/>
              <w:tabs>
                <w:tab w:val="clear" w:pos="708"/>
                <w:tab w:val="left" w:pos="0" w:leader="none"/>
              </w:tabs>
              <w:jc w:val="both"/>
              <w:rPr/>
            </w:pPr>
            <w:r>
              <w:rPr/>
              <w:t>(+ -)</w:t>
            </w:r>
          </w:p>
        </w:tc>
      </w:tr>
      <w:tr>
        <w:trPr/>
        <w:tc>
          <w:tcPr>
            <w:tcW w:w="667" w:type="dxa"/>
            <w:tcBorders/>
            <w:shd w:fill="auto" w:val="clear"/>
          </w:tcPr>
          <w:p>
            <w:pPr>
              <w:pStyle w:val="Normal"/>
              <w:tabs>
                <w:tab w:val="clear" w:pos="708"/>
                <w:tab w:val="left" w:pos="0" w:leader="none"/>
              </w:tabs>
              <w:jc w:val="both"/>
              <w:rPr/>
            </w:pPr>
            <w:r>
              <w:rPr/>
              <w:t>1.</w:t>
            </w:r>
          </w:p>
        </w:tc>
        <w:tc>
          <w:tcPr>
            <w:tcW w:w="3064" w:type="dxa"/>
            <w:tcBorders/>
            <w:shd w:fill="auto" w:val="clear"/>
          </w:tcPr>
          <w:p>
            <w:pPr>
              <w:pStyle w:val="Normal"/>
              <w:tabs>
                <w:tab w:val="clear" w:pos="708"/>
                <w:tab w:val="left" w:pos="0" w:leader="none"/>
              </w:tabs>
              <w:jc w:val="both"/>
              <w:rPr/>
            </w:pPr>
            <w:r>
              <w:rPr>
                <w:rFonts w:eastAsia="Calibri"/>
              </w:rPr>
              <w:t xml:space="preserve">земли, находящиеся в собственности  </w:t>
            </w:r>
          </w:p>
        </w:tc>
        <w:tc>
          <w:tcPr>
            <w:tcW w:w="2049" w:type="dxa"/>
            <w:tcBorders/>
            <w:shd w:fill="auto" w:val="clear"/>
          </w:tcPr>
          <w:p>
            <w:pPr>
              <w:pStyle w:val="Normal"/>
              <w:tabs>
                <w:tab w:val="clear" w:pos="708"/>
                <w:tab w:val="left" w:pos="0" w:leader="none"/>
              </w:tabs>
              <w:jc w:val="both"/>
              <w:rPr/>
            </w:pPr>
            <w:r>
              <w:rPr/>
              <w:t>17,75</w:t>
            </w:r>
          </w:p>
        </w:tc>
        <w:tc>
          <w:tcPr>
            <w:tcW w:w="2052" w:type="dxa"/>
            <w:tcBorders/>
            <w:shd w:fill="auto" w:val="clear"/>
          </w:tcPr>
          <w:p>
            <w:pPr>
              <w:pStyle w:val="Normal"/>
              <w:tabs>
                <w:tab w:val="clear" w:pos="708"/>
                <w:tab w:val="left" w:pos="0" w:leader="none"/>
              </w:tabs>
              <w:jc w:val="both"/>
              <w:rPr/>
            </w:pPr>
            <w:r>
              <w:rPr/>
              <w:t>17,75</w:t>
            </w:r>
          </w:p>
        </w:tc>
        <w:tc>
          <w:tcPr>
            <w:tcW w:w="1512" w:type="dxa"/>
            <w:tcBorders/>
            <w:shd w:fill="auto" w:val="clear"/>
          </w:tcPr>
          <w:p>
            <w:pPr>
              <w:pStyle w:val="Normal"/>
              <w:tabs>
                <w:tab w:val="clear" w:pos="708"/>
                <w:tab w:val="left" w:pos="0" w:leader="none"/>
              </w:tabs>
              <w:jc w:val="both"/>
              <w:rPr/>
            </w:pPr>
            <w:r>
              <w:rPr/>
              <w:t>0</w:t>
            </w:r>
          </w:p>
        </w:tc>
      </w:tr>
      <w:tr>
        <w:trPr/>
        <w:tc>
          <w:tcPr>
            <w:tcW w:w="667" w:type="dxa"/>
            <w:tcBorders/>
            <w:shd w:fill="auto" w:val="clear"/>
          </w:tcPr>
          <w:p>
            <w:pPr>
              <w:pStyle w:val="Normal"/>
              <w:tabs>
                <w:tab w:val="clear" w:pos="708"/>
                <w:tab w:val="left" w:pos="0" w:leader="none"/>
              </w:tabs>
              <w:jc w:val="both"/>
              <w:rPr/>
            </w:pPr>
            <w:r>
              <w:rPr/>
              <w:t>2.</w:t>
            </w:r>
          </w:p>
        </w:tc>
        <w:tc>
          <w:tcPr>
            <w:tcW w:w="3064" w:type="dxa"/>
            <w:tcBorders/>
            <w:shd w:fill="auto" w:val="clear"/>
          </w:tcPr>
          <w:p>
            <w:pPr>
              <w:pStyle w:val="Normal"/>
              <w:tabs>
                <w:tab w:val="clear" w:pos="708"/>
                <w:tab w:val="left" w:pos="0" w:leader="none"/>
              </w:tabs>
              <w:jc w:val="both"/>
              <w:rPr>
                <w:rFonts w:ascii="Cambria" w:hAnsi="Cambria" w:cs="Calibri" w:asciiTheme="majorHAnsi" w:cstheme="minorHAnsi" w:hAnsiTheme="majorHAnsi"/>
              </w:rPr>
            </w:pPr>
            <w:r>
              <w:rPr>
                <w:rFonts w:eastAsia="Calibri" w:cs="Calibri" w:ascii="Cambria" w:hAnsi="Cambria" w:asciiTheme="majorHAnsi" w:cstheme="minorHAnsi" w:hAnsiTheme="majorHAnsi"/>
              </w:rPr>
              <w:t xml:space="preserve">земли, находящиеся в аренде             </w:t>
            </w:r>
            <w:r>
              <w:rPr>
                <w:rFonts w:cs="Calibri" w:ascii="Cambria" w:hAnsi="Cambria" w:asciiTheme="majorHAnsi" w:cstheme="minorHAnsi" w:hAnsiTheme="majorHAnsi"/>
              </w:rPr>
              <w:t xml:space="preserve"> </w:t>
            </w:r>
          </w:p>
        </w:tc>
        <w:tc>
          <w:tcPr>
            <w:tcW w:w="2049" w:type="dxa"/>
            <w:tcBorders/>
            <w:shd w:fill="auto" w:val="clear"/>
          </w:tcPr>
          <w:p>
            <w:pPr>
              <w:pStyle w:val="Normal"/>
              <w:tabs>
                <w:tab w:val="clear" w:pos="708"/>
                <w:tab w:val="left" w:pos="0" w:leader="none"/>
              </w:tabs>
              <w:jc w:val="both"/>
              <w:rPr/>
            </w:pPr>
            <w:r>
              <w:rPr/>
              <w:t>79,22</w:t>
            </w:r>
          </w:p>
        </w:tc>
        <w:tc>
          <w:tcPr>
            <w:tcW w:w="2052" w:type="dxa"/>
            <w:tcBorders/>
            <w:shd w:fill="auto" w:val="clear"/>
          </w:tcPr>
          <w:p>
            <w:pPr>
              <w:pStyle w:val="Normal"/>
              <w:tabs>
                <w:tab w:val="clear" w:pos="708"/>
                <w:tab w:val="left" w:pos="0" w:leader="none"/>
              </w:tabs>
              <w:jc w:val="both"/>
              <w:rPr/>
            </w:pPr>
            <w:r>
              <w:rPr/>
              <w:t>79,22</w:t>
            </w:r>
          </w:p>
        </w:tc>
        <w:tc>
          <w:tcPr>
            <w:tcW w:w="1512" w:type="dxa"/>
            <w:tcBorders/>
            <w:shd w:fill="auto" w:val="clear"/>
          </w:tcPr>
          <w:p>
            <w:pPr>
              <w:pStyle w:val="Normal"/>
              <w:tabs>
                <w:tab w:val="clear" w:pos="708"/>
                <w:tab w:val="left" w:pos="0" w:leader="none"/>
              </w:tabs>
              <w:jc w:val="both"/>
              <w:rPr/>
            </w:pPr>
            <w:r>
              <w:rPr/>
              <w:t>0</w:t>
            </w:r>
          </w:p>
        </w:tc>
      </w:tr>
      <w:tr>
        <w:trPr/>
        <w:tc>
          <w:tcPr>
            <w:tcW w:w="667" w:type="dxa"/>
            <w:tcBorders/>
            <w:shd w:fill="auto" w:val="clear"/>
          </w:tcPr>
          <w:p>
            <w:pPr>
              <w:pStyle w:val="Normal"/>
              <w:tabs>
                <w:tab w:val="clear" w:pos="708"/>
                <w:tab w:val="left" w:pos="0" w:leader="none"/>
              </w:tabs>
              <w:jc w:val="both"/>
              <w:rPr/>
            </w:pPr>
            <w:r>
              <w:rPr/>
              <w:t>3.</w:t>
            </w:r>
          </w:p>
        </w:tc>
        <w:tc>
          <w:tcPr>
            <w:tcW w:w="3064" w:type="dxa"/>
            <w:tcBorders/>
            <w:shd w:fill="auto" w:val="clear"/>
          </w:tcPr>
          <w:p>
            <w:pPr>
              <w:pStyle w:val="Normal"/>
              <w:tabs>
                <w:tab w:val="clear" w:pos="708"/>
                <w:tab w:val="left" w:pos="0" w:leader="none"/>
              </w:tabs>
              <w:jc w:val="both"/>
              <w:rPr/>
            </w:pPr>
            <w:r>
              <w:rPr/>
              <w:t>площадь земельных участков, переданных в безвозмездное пользование</w:t>
            </w:r>
          </w:p>
        </w:tc>
        <w:tc>
          <w:tcPr>
            <w:tcW w:w="2049" w:type="dxa"/>
            <w:tcBorders/>
            <w:shd w:fill="auto" w:val="clear"/>
          </w:tcPr>
          <w:p>
            <w:pPr>
              <w:pStyle w:val="Normal"/>
              <w:tabs>
                <w:tab w:val="clear" w:pos="708"/>
                <w:tab w:val="left" w:pos="0" w:leader="none"/>
              </w:tabs>
              <w:jc w:val="both"/>
              <w:rPr/>
            </w:pPr>
            <w:r>
              <w:rPr/>
              <w:t>4,0</w:t>
            </w:r>
          </w:p>
        </w:tc>
        <w:tc>
          <w:tcPr>
            <w:tcW w:w="2052" w:type="dxa"/>
            <w:tcBorders/>
            <w:shd w:fill="auto" w:val="clear"/>
          </w:tcPr>
          <w:p>
            <w:pPr>
              <w:pStyle w:val="Normal"/>
              <w:tabs>
                <w:tab w:val="clear" w:pos="708"/>
                <w:tab w:val="left" w:pos="0" w:leader="none"/>
              </w:tabs>
              <w:jc w:val="both"/>
              <w:rPr/>
            </w:pPr>
            <w:r>
              <w:rPr/>
              <w:t>4,0</w:t>
            </w:r>
          </w:p>
        </w:tc>
        <w:tc>
          <w:tcPr>
            <w:tcW w:w="1512" w:type="dxa"/>
            <w:tcBorders/>
            <w:shd w:fill="auto" w:val="clear"/>
          </w:tcPr>
          <w:p>
            <w:pPr>
              <w:pStyle w:val="Normal"/>
              <w:tabs>
                <w:tab w:val="clear" w:pos="708"/>
                <w:tab w:val="left" w:pos="0" w:leader="none"/>
              </w:tabs>
              <w:jc w:val="both"/>
              <w:rPr/>
            </w:pPr>
            <w:r>
              <w:rPr/>
              <w:t>0</w:t>
            </w:r>
          </w:p>
        </w:tc>
      </w:tr>
    </w:tbl>
    <w:p>
      <w:pPr>
        <w:pStyle w:val="Normal"/>
        <w:tabs>
          <w:tab w:val="clear" w:pos="708"/>
          <w:tab w:val="left" w:pos="0" w:leader="none"/>
        </w:tabs>
        <w:jc w:val="both"/>
        <w:rPr>
          <w:sz w:val="28"/>
          <w:szCs w:val="28"/>
        </w:rPr>
      </w:pPr>
      <w:r>
        <w:rPr>
          <w:sz w:val="28"/>
          <w:szCs w:val="28"/>
        </w:rPr>
        <w:tab/>
      </w:r>
    </w:p>
    <w:p>
      <w:pPr>
        <w:pStyle w:val="Normal"/>
        <w:tabs>
          <w:tab w:val="clear" w:pos="708"/>
          <w:tab w:val="left" w:pos="0" w:leader="none"/>
        </w:tabs>
        <w:jc w:val="both"/>
        <w:rPr>
          <w:b/>
          <w:b/>
          <w:sz w:val="28"/>
          <w:szCs w:val="28"/>
        </w:rPr>
      </w:pPr>
      <w:r>
        <w:rPr>
          <w:b/>
          <w:sz w:val="28"/>
          <w:szCs w:val="28"/>
        </w:rPr>
        <w:t xml:space="preserve"> </w:t>
      </w:r>
      <w:r>
        <w:rPr>
          <w:b/>
          <w:sz w:val="28"/>
          <w:szCs w:val="28"/>
        </w:rPr>
        <w:t>Цель 2. Проверка неналоговых доходов за пользование земельными ресурсами</w:t>
      </w:r>
    </w:p>
    <w:p>
      <w:pPr>
        <w:pStyle w:val="Normal"/>
        <w:jc w:val="center"/>
        <w:rPr>
          <w:b/>
          <w:b/>
          <w:i/>
          <w:i/>
          <w:sz w:val="28"/>
          <w:szCs w:val="28"/>
        </w:rPr>
      </w:pPr>
      <w:r>
        <w:rPr>
          <w:b/>
          <w:i/>
          <w:sz w:val="28"/>
          <w:szCs w:val="28"/>
        </w:rPr>
        <w:t>Администрирование неналоговых доходов</w:t>
      </w:r>
    </w:p>
    <w:p>
      <w:pPr>
        <w:pStyle w:val="Normal"/>
        <w:jc w:val="center"/>
        <w:rPr>
          <w:b/>
          <w:b/>
          <w:i/>
          <w:i/>
          <w:sz w:val="28"/>
          <w:szCs w:val="28"/>
        </w:rPr>
      </w:pPr>
      <w:r>
        <w:rPr>
          <w:b/>
          <w:i/>
          <w:sz w:val="28"/>
          <w:szCs w:val="28"/>
        </w:rPr>
      </w:r>
    </w:p>
    <w:p>
      <w:pPr>
        <w:pStyle w:val="Normal"/>
        <w:jc w:val="both"/>
        <w:rPr>
          <w:sz w:val="28"/>
          <w:szCs w:val="28"/>
        </w:rPr>
      </w:pPr>
      <w:r>
        <w:rPr>
          <w:sz w:val="28"/>
          <w:szCs w:val="28"/>
        </w:rPr>
        <w:t xml:space="preserve">    </w:t>
      </w:r>
      <w:r>
        <w:rPr>
          <w:sz w:val="28"/>
          <w:szCs w:val="28"/>
        </w:rPr>
        <w:tab/>
        <w:t xml:space="preserve">В соответствии со статьей 6 Бюджетного Кодекса Российской Федерации (далее - БК РФ) администраторами доходов бюджета являются органы местного самоуправления, а также созданные ими казенные </w:t>
      </w:r>
      <w:bookmarkStart w:id="1" w:name="2"/>
      <w:bookmarkEnd w:id="1"/>
      <w:r>
        <w:rPr>
          <w:sz w:val="28"/>
          <w:szCs w:val="28"/>
        </w:rPr>
        <w:t xml:space="preserve">учреждения, осуществляющие в соответствии с законодательством Российской Федерации контроль за правильностью исчисления, полнотой                  и своевременностью уплаты, начисление, учет, взыскание и принятие решений о возврате (зачете) излишне уплаченных (взысканных) платежей, пеней                        и штрафов по ним, являющихся доходами бюджетов бюджетной системы Российской Федерации. </w:t>
      </w:r>
    </w:p>
    <w:p>
      <w:pPr>
        <w:pStyle w:val="Normal"/>
        <w:ind w:firstLine="708"/>
        <w:jc w:val="both"/>
        <w:rPr>
          <w:sz w:val="28"/>
          <w:szCs w:val="28"/>
        </w:rPr>
      </w:pPr>
      <w:r>
        <w:rPr>
          <w:sz w:val="28"/>
          <w:szCs w:val="28"/>
        </w:rPr>
        <w:t xml:space="preserve">Статья 160.1. БК РФ определяет бюджетные полномочия администратора доходов бюджета. </w:t>
      </w:r>
    </w:p>
    <w:p>
      <w:pPr>
        <w:pStyle w:val="Normal"/>
        <w:ind w:firstLine="708"/>
        <w:jc w:val="both"/>
        <w:rPr>
          <w:sz w:val="28"/>
          <w:szCs w:val="28"/>
        </w:rPr>
      </w:pPr>
      <w:r>
        <w:rPr>
          <w:sz w:val="28"/>
          <w:szCs w:val="28"/>
        </w:rPr>
        <w:t>Администратор доходов бюджета обладает следующими бюджетными полномочиями:</w:t>
      </w:r>
    </w:p>
    <w:p>
      <w:pPr>
        <w:pStyle w:val="Normal"/>
        <w:jc w:val="both"/>
        <w:rPr>
          <w:sz w:val="28"/>
          <w:szCs w:val="28"/>
        </w:rPr>
      </w:pPr>
      <w:r>
        <w:rPr>
          <w:sz w:val="28"/>
          <w:szCs w:val="28"/>
        </w:rPr>
        <w:t>- осуществление начисления, учета и контроля за правильностью исчисления, полнотой и своевременностью осуществления платежей в бюджет, пеней                      и штрафов по ним;</w:t>
      </w:r>
    </w:p>
    <w:p>
      <w:pPr>
        <w:pStyle w:val="Normal"/>
        <w:jc w:val="both"/>
        <w:rPr>
          <w:sz w:val="28"/>
          <w:szCs w:val="28"/>
        </w:rPr>
      </w:pPr>
      <w:r>
        <w:rPr>
          <w:sz w:val="28"/>
          <w:szCs w:val="28"/>
        </w:rPr>
        <w:t>- осуществление взыскания задолженности по платежам в бюджет, пеней                 и штрафов;</w:t>
      </w:r>
    </w:p>
    <w:p>
      <w:pPr>
        <w:pStyle w:val="Normal"/>
        <w:jc w:val="both"/>
        <w:rPr>
          <w:sz w:val="28"/>
          <w:szCs w:val="28"/>
        </w:rPr>
      </w:pPr>
      <w:r>
        <w:rPr>
          <w:sz w:val="28"/>
          <w:szCs w:val="28"/>
        </w:rPr>
        <w:t>- принятие решения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представление поручения в орган Казначейства России для осуществления возврата в порядке, установленном Министерством финансов Российской Федерации;</w:t>
      </w:r>
    </w:p>
    <w:p>
      <w:pPr>
        <w:pStyle w:val="Normal"/>
        <w:jc w:val="both"/>
        <w:rPr>
          <w:sz w:val="28"/>
          <w:szCs w:val="28"/>
        </w:rPr>
      </w:pPr>
      <w:r>
        <w:rPr>
          <w:sz w:val="28"/>
          <w:szCs w:val="28"/>
        </w:rPr>
        <w:t>- принятие решения о зачете (уточнении) платежей в бюджеты бюджетной системы Российской Федерации и представлении уведомления                                              в территориальный орган Казначейства России;</w:t>
      </w:r>
    </w:p>
    <w:p>
      <w:pPr>
        <w:pStyle w:val="Normal"/>
        <w:jc w:val="both"/>
        <w:rPr>
          <w:sz w:val="28"/>
          <w:szCs w:val="28"/>
        </w:rPr>
      </w:pPr>
      <w:r>
        <w:rPr>
          <w:sz w:val="28"/>
          <w:szCs w:val="28"/>
        </w:rPr>
        <w:t>- формирование и представление главному администратору доходов бюджета сведений и бюджетной отчетности, необходимых для осуществления полномочий соответствующего главного администратора доходов бюджета,                      в случае и порядке, установленных главным администратором доходов бюджета;</w:t>
      </w:r>
    </w:p>
    <w:p>
      <w:pPr>
        <w:pStyle w:val="Normal"/>
        <w:jc w:val="both"/>
        <w:rPr>
          <w:sz w:val="28"/>
          <w:szCs w:val="28"/>
        </w:rPr>
      </w:pPr>
      <w:r>
        <w:rPr>
          <w:sz w:val="28"/>
          <w:szCs w:val="28"/>
        </w:rPr>
        <w:t>- предоставление информации, необходимой для уплаты денежных средств физическими и юридическими лицами за государственные и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Федеральном законом                                  от 27.07.2010 № 210-ФЗ «Об организации предоставления государственных                   и муниципальных услуг»  и Приказом Казначейства России от 30.11.2012                     № 19н «Об утверждении Порядка ведения Государственной информационной системы о государственных и муниципальных платежах»;</w:t>
      </w:r>
    </w:p>
    <w:p>
      <w:pPr>
        <w:pStyle w:val="Normal"/>
        <w:jc w:val="both"/>
        <w:rPr>
          <w:sz w:val="28"/>
          <w:szCs w:val="28"/>
        </w:rPr>
      </w:pPr>
      <w:bookmarkStart w:id="2" w:name="3"/>
      <w:bookmarkEnd w:id="2"/>
      <w:r>
        <w:rPr>
          <w:sz w:val="28"/>
          <w:szCs w:val="28"/>
        </w:rPr>
        <w:t>- осуществление иных бюджетных полномочий, установленных БК РФ                           и принимаемых в соответствии с ним нормативных правовых актов, регулирующих бюджетные правоотношения.</w:t>
      </w:r>
    </w:p>
    <w:p>
      <w:pPr>
        <w:pStyle w:val="Normal"/>
        <w:ind w:firstLine="708"/>
        <w:jc w:val="both"/>
        <w:rPr>
          <w:sz w:val="28"/>
          <w:szCs w:val="28"/>
        </w:rPr>
      </w:pPr>
      <w:r>
        <w:rPr>
          <w:sz w:val="28"/>
          <w:szCs w:val="28"/>
        </w:rPr>
        <w:t>В соответствии со ст. 160.1 БК РФ, постановлением администрации города Канска от  26.05.2016 № 453 «Об утверждении порядка бюджетных полномочий главных администраторов (администраторов) доходов муниципального образования города Канска, являющихся  органами местного самоуправления и (или)  находящимися  в их ведении  казенными учреждениями»,  решением Канского городского Совета депутатов                                от  21.12.2016 № 15-64 «О бюджете города Канска на 2017 год и плановый период 2018-2019 годов» утвержден  перечень главных администраторов доходов бюджета. Главным администратором доходов городского бюджета полученных от управления и распоряжения земельными участками,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   является Комитет по управлению муниципальным имуществом города Канска.</w:t>
      </w:r>
    </w:p>
    <w:p>
      <w:pPr>
        <w:pStyle w:val="Normal"/>
        <w:jc w:val="both"/>
        <w:rPr>
          <w:sz w:val="28"/>
          <w:szCs w:val="28"/>
        </w:rPr>
      </w:pPr>
      <w:r>
        <w:rPr>
          <w:sz w:val="28"/>
          <w:szCs w:val="28"/>
        </w:rPr>
        <w:t xml:space="preserve">   </w:t>
      </w:r>
      <w:r>
        <w:rPr>
          <w:sz w:val="28"/>
          <w:szCs w:val="28"/>
        </w:rPr>
        <w:tab/>
        <w:t xml:space="preserve"> БК РФ не определена процедура наделения полномочиями администратора доходов бюджета, являющегося главным администратором доходов бюджета и не имеющего подведомственных ему администраторов доходов бюджета.</w:t>
      </w:r>
    </w:p>
    <w:p>
      <w:pPr>
        <w:pStyle w:val="Normal"/>
        <w:ind w:firstLine="708"/>
        <w:jc w:val="both"/>
        <w:rPr>
          <w:sz w:val="28"/>
          <w:szCs w:val="28"/>
        </w:rPr>
      </w:pPr>
      <w:bookmarkStart w:id="3" w:name="4"/>
      <w:bookmarkEnd w:id="3"/>
      <w:r>
        <w:rPr>
          <w:sz w:val="28"/>
          <w:szCs w:val="28"/>
        </w:rPr>
        <w:t>В результате этого Комитет по управлению муниципальным имуществом города Канска наделен полномочиями администратора доходов бюджета собственными приказами.</w:t>
      </w:r>
    </w:p>
    <w:p>
      <w:pPr>
        <w:pStyle w:val="Normal"/>
        <w:ind w:firstLine="708"/>
        <w:jc w:val="both"/>
        <w:rPr>
          <w:sz w:val="28"/>
          <w:szCs w:val="28"/>
        </w:rPr>
      </w:pPr>
      <w:r>
        <w:rPr>
          <w:sz w:val="28"/>
          <w:szCs w:val="28"/>
        </w:rPr>
        <w:t xml:space="preserve">Так,  приказами    КУМИ  от 27.12.2016 № 108-од,  от 22.02.2017                  № 11-од, от 06.03.2017 № 18-од, от 12.07.2017 № 60-од, от 30.10.2017 № 87-од  Комитет по управлению муниципальным имуществом города Канска наделено полномочиями   администратора доходов   в части осуществления контроля за правильностью исчисления, полнотой и своевременностью уплаты, начисления, учета, взыскания  и принятия решений о возврате  (зачете) излишне уплаченных (взысканных) платежей в бюджет 2017 года по кодам  бюджетной классификации  по 24-ем видам неналоговых доходов. </w:t>
      </w:r>
    </w:p>
    <w:p>
      <w:pPr>
        <w:pStyle w:val="Normal"/>
        <w:jc w:val="both"/>
        <w:rPr>
          <w:sz w:val="28"/>
          <w:szCs w:val="28"/>
        </w:rPr>
      </w:pPr>
      <w:r>
        <w:rPr>
          <w:sz w:val="28"/>
          <w:szCs w:val="28"/>
        </w:rPr>
        <w:t xml:space="preserve">        </w:t>
      </w:r>
      <w:r>
        <w:rPr>
          <w:sz w:val="28"/>
          <w:szCs w:val="28"/>
        </w:rPr>
        <w:t>Полномочия администраторов доходов бюджета, предусмотренные пунктом 2. статьи 160.1.БК РФ в приказах учтены в полной мере, приказы                      о наделении полномочиями приняты без нарушения положений, установленных Порядком администрации города Канска от 26.05.2016 № 453 бюджетных полномочий главных администраторов (администраторов) доходов муниципального образования города Канска, являющихся  органами местного самоуправления и (или)  находящимися  в их ведении  казенными учреждениями.</w:t>
      </w:r>
    </w:p>
    <w:p>
      <w:pPr>
        <w:pStyle w:val="Normal"/>
        <w:ind w:firstLine="709"/>
        <w:jc w:val="both"/>
        <w:rPr>
          <w:sz w:val="28"/>
          <w:szCs w:val="28"/>
        </w:rPr>
      </w:pPr>
      <w:r>
        <w:rPr>
          <w:sz w:val="28"/>
          <w:szCs w:val="28"/>
        </w:rPr>
        <w:t>Предоставление информации, необходимой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Комитет                                        по управлению муниципальным имуществом города Канска                                                    в Государственную информационную  систему о государственных                                      и муниципальных платежах в соответствии с порядком, установленным Федеральным законом № 210-ФЗ производится.</w:t>
      </w:r>
    </w:p>
    <w:p>
      <w:pPr>
        <w:pStyle w:val="Normal"/>
        <w:ind w:firstLine="709"/>
        <w:jc w:val="both"/>
        <w:rPr>
          <w:rFonts w:eastAsia="Calibri"/>
          <w:sz w:val="28"/>
          <w:szCs w:val="28"/>
        </w:rPr>
      </w:pPr>
      <w:r>
        <w:rPr>
          <w:rFonts w:eastAsia="Calibri"/>
          <w:sz w:val="28"/>
          <w:szCs w:val="28"/>
        </w:rPr>
        <w:t>Доходы бюджетов подлежат зачислению на счета органов Федерального казначейства, предназначенные для учета и распределения между бюджетами бюджетной системы Российской Федерации в соответствии с нормативами, установленными Бюджетным кодексом между бюджетом субъекта Российской Федерации и местным бюджетом, с перечислением распределенных поступлений на единые счета соответствующих бюджетов   бюджетной системы Российской Федерации.</w:t>
      </w:r>
    </w:p>
    <w:p>
      <w:pPr>
        <w:pStyle w:val="Normal"/>
        <w:ind w:firstLine="708"/>
        <w:jc w:val="both"/>
        <w:rPr>
          <w:rFonts w:eastAsia="Calibri"/>
          <w:sz w:val="28"/>
          <w:szCs w:val="28"/>
        </w:rPr>
      </w:pPr>
      <w:r>
        <w:rPr>
          <w:rFonts w:eastAsia="Calibri"/>
          <w:sz w:val="28"/>
          <w:szCs w:val="28"/>
        </w:rPr>
        <w:t>В связи с изменениями, внесенными Федеральным законом                                   от 03.12.2012 № 244-ФЗ в Бюджетный кодекс Российской Федерации указанные доходы с 1 января 2014 года зачисляются 100 % в местный бюджет.</w:t>
      </w:r>
    </w:p>
    <w:p>
      <w:pPr>
        <w:pStyle w:val="Normal"/>
        <w:ind w:firstLine="708"/>
        <w:jc w:val="both"/>
        <w:rPr>
          <w:sz w:val="28"/>
          <w:szCs w:val="28"/>
        </w:rPr>
      </w:pPr>
      <w:r>
        <w:rPr>
          <w:sz w:val="28"/>
          <w:szCs w:val="28"/>
        </w:rPr>
        <w:t>В 2017 году из 24-х</w:t>
      </w:r>
      <w:r>
        <w:rPr>
          <w:color w:val="FF0000"/>
          <w:sz w:val="28"/>
          <w:szCs w:val="28"/>
        </w:rPr>
        <w:t xml:space="preserve"> </w:t>
      </w:r>
      <w:r>
        <w:rPr>
          <w:sz w:val="28"/>
          <w:szCs w:val="28"/>
        </w:rPr>
        <w:t>закрепленных видов администрируемых доходов решением о бюджете КУМИ администрировало все виды неналоговых доходов.</w:t>
      </w:r>
    </w:p>
    <w:p>
      <w:pPr>
        <w:pStyle w:val="Normal"/>
        <w:jc w:val="both"/>
        <w:rPr>
          <w:sz w:val="28"/>
          <w:szCs w:val="28"/>
        </w:rPr>
      </w:pPr>
      <w:r>
        <w:rPr>
          <w:sz w:val="28"/>
          <w:szCs w:val="28"/>
        </w:rPr>
        <w:tab/>
        <w:t>Исполнение плановых показателей по поступлению неналоговых доходов в бюджет города по главному администратору доходов бюджета Комитет по управлению муниципальным имуществом города Канска сложилось следующим образом:</w:t>
      </w:r>
    </w:p>
    <w:p>
      <w:pPr>
        <w:pStyle w:val="Normal"/>
        <w:ind w:firstLine="708"/>
        <w:jc w:val="both"/>
        <w:rPr>
          <w:sz w:val="28"/>
          <w:szCs w:val="28"/>
        </w:rPr>
      </w:pPr>
      <w:r>
        <w:rPr>
          <w:sz w:val="28"/>
          <w:szCs w:val="28"/>
        </w:rPr>
        <w:t xml:space="preserve">-при годовых плановых показателях 2017 года в сумме 43 468 100,00 </w:t>
      </w:r>
      <w:r>
        <w:rPr>
          <w:rFonts w:eastAsia="Calibri" w:eastAsiaTheme="minorHAnsi"/>
          <w:sz w:val="28"/>
          <w:szCs w:val="28"/>
          <w:lang w:eastAsia="en-US"/>
        </w:rPr>
        <w:t>рублей</w:t>
      </w:r>
      <w:r>
        <w:rPr>
          <w:sz w:val="28"/>
          <w:szCs w:val="28"/>
        </w:rPr>
        <w:t xml:space="preserve">, фактическое поступление средств составило 44 884 500,00 </w:t>
      </w:r>
      <w:r>
        <w:rPr>
          <w:rFonts w:eastAsia="Calibri" w:eastAsiaTheme="minorHAnsi"/>
          <w:sz w:val="28"/>
          <w:szCs w:val="28"/>
          <w:lang w:eastAsia="en-US"/>
        </w:rPr>
        <w:t>рублей</w:t>
      </w:r>
      <w:r>
        <w:rPr>
          <w:sz w:val="28"/>
          <w:szCs w:val="28"/>
        </w:rPr>
        <w:t xml:space="preserve">,              или 103,3 % от плановых показателей;  </w:t>
      </w:r>
    </w:p>
    <w:p>
      <w:pPr>
        <w:pStyle w:val="Normal"/>
        <w:ind w:firstLine="708"/>
        <w:jc w:val="both"/>
        <w:rPr>
          <w:sz w:val="28"/>
          <w:szCs w:val="28"/>
        </w:rPr>
      </w:pPr>
      <w:r>
        <w:rPr>
          <w:sz w:val="28"/>
          <w:szCs w:val="28"/>
        </w:rPr>
        <w:t>- Удельный вес доходов, администрируемых КУМИ, в объеме неналоговых доходов в проверяемом периоде составили: за 2017 год -   100%</w:t>
      </w:r>
    </w:p>
    <w:p>
      <w:pPr>
        <w:pStyle w:val="Normal"/>
        <w:ind w:firstLine="708"/>
        <w:jc w:val="both"/>
        <w:rPr>
          <w:sz w:val="28"/>
          <w:szCs w:val="28"/>
        </w:rPr>
      </w:pPr>
      <w:r>
        <w:rPr>
          <w:sz w:val="28"/>
          <w:szCs w:val="28"/>
        </w:rPr>
        <w:t xml:space="preserve">Задолженность по арендной плате земельных участков на 31.12.2017 года составила 25 603 700,00 </w:t>
      </w:r>
      <w:r>
        <w:rPr>
          <w:rFonts w:eastAsia="Calibri" w:eastAsiaTheme="minorHAnsi"/>
          <w:sz w:val="28"/>
          <w:szCs w:val="28"/>
          <w:lang w:eastAsia="en-US"/>
        </w:rPr>
        <w:t>рублей</w:t>
      </w:r>
      <w:r>
        <w:rPr>
          <w:sz w:val="28"/>
          <w:szCs w:val="28"/>
        </w:rPr>
        <w:t>, определить соотношение</w:t>
      </w:r>
      <w:r>
        <w:rPr>
          <w:color w:val="00B050"/>
          <w:sz w:val="28"/>
          <w:szCs w:val="28"/>
        </w:rPr>
        <w:t xml:space="preserve"> </w:t>
      </w:r>
      <w:r>
        <w:rPr>
          <w:sz w:val="28"/>
          <w:szCs w:val="28"/>
        </w:rPr>
        <w:t xml:space="preserve">поступлений арендной платы и недоимки по платежам в бюджет невозможно, так как   недоимка   превышает сумму поступлений    на 7 800 300,00 </w:t>
      </w:r>
      <w:r>
        <w:rPr>
          <w:rFonts w:eastAsia="Calibri" w:eastAsiaTheme="minorHAnsi"/>
          <w:sz w:val="28"/>
          <w:szCs w:val="28"/>
          <w:lang w:eastAsia="en-US"/>
        </w:rPr>
        <w:t>рублей</w:t>
      </w:r>
      <w:r>
        <w:rPr>
          <w:sz w:val="28"/>
          <w:szCs w:val="28"/>
        </w:rPr>
        <w:t xml:space="preserve">.  </w:t>
      </w:r>
    </w:p>
    <w:p>
      <w:pPr>
        <w:pStyle w:val="Normal"/>
        <w:ind w:firstLine="708"/>
        <w:jc w:val="both"/>
        <w:rPr>
          <w:sz w:val="28"/>
          <w:szCs w:val="28"/>
        </w:rPr>
      </w:pPr>
      <w:r>
        <w:rPr>
          <w:sz w:val="28"/>
          <w:szCs w:val="28"/>
        </w:rPr>
        <w:t>Несопоставимо большая сумма задолженности по арендной плате (33 809 728,93 рублей) за земельные участки, является следствием                                     не исполнения полномочий главного администратора доходов бюджета                         в части осуществления контроля за своевременностью поступлений платежей                              в бюджет города, что является нарушением ст. 160.1 Бюджетного кодекса РФ.</w:t>
      </w:r>
    </w:p>
    <w:p>
      <w:pPr>
        <w:pStyle w:val="Normal"/>
        <w:ind w:firstLine="708"/>
        <w:jc w:val="both"/>
        <w:rPr>
          <w:sz w:val="28"/>
          <w:szCs w:val="28"/>
        </w:rPr>
      </w:pPr>
      <w:r>
        <w:rPr>
          <w:sz w:val="28"/>
          <w:szCs w:val="28"/>
        </w:rPr>
        <w:t>В целом утвержденные плановые показатели по поступлению неналоговых доходов за 2017 год КУМИ исполнены. При осуществлении анализа в разрезе источников администрируемых доходов бюджета, наблюдается неисполнение плановых показателей по доходам, полученных                   от продажи земельных участков, государственная собственность на которые не разграничена и которые расположены в границах городских округов:</w:t>
      </w:r>
    </w:p>
    <w:p>
      <w:pPr>
        <w:pStyle w:val="Normal"/>
        <w:ind w:firstLine="708"/>
        <w:jc w:val="both"/>
        <w:rPr>
          <w:sz w:val="28"/>
          <w:szCs w:val="28"/>
        </w:rPr>
      </w:pPr>
      <w:r>
        <w:rPr>
          <w:sz w:val="28"/>
          <w:szCs w:val="28"/>
        </w:rPr>
        <w:t xml:space="preserve"> </w:t>
      </w:r>
      <w:r>
        <w:rPr>
          <w:sz w:val="28"/>
          <w:szCs w:val="28"/>
        </w:rPr>
        <w:t xml:space="preserve">КБК    000 114 06 012 04 0000 430: утверждено бюджетных ассигнований в сумме 5 630 000,00 </w:t>
      </w:r>
      <w:r>
        <w:rPr>
          <w:rFonts w:eastAsia="Calibri" w:eastAsiaTheme="minorHAnsi"/>
          <w:sz w:val="28"/>
          <w:szCs w:val="28"/>
          <w:lang w:eastAsia="en-US"/>
        </w:rPr>
        <w:t>рублей</w:t>
      </w:r>
      <w:r>
        <w:rPr>
          <w:sz w:val="28"/>
          <w:szCs w:val="28"/>
        </w:rPr>
        <w:t xml:space="preserve">, исполнено 4 932 100,00 </w:t>
      </w:r>
      <w:r>
        <w:rPr>
          <w:rFonts w:eastAsia="Calibri" w:eastAsiaTheme="minorHAnsi"/>
          <w:sz w:val="28"/>
          <w:szCs w:val="28"/>
          <w:lang w:eastAsia="en-US"/>
        </w:rPr>
        <w:t>рублей</w:t>
      </w:r>
      <w:r>
        <w:rPr>
          <w:sz w:val="28"/>
          <w:szCs w:val="28"/>
        </w:rPr>
        <w:t xml:space="preserve">, или 87,6 %                                       к утвержденным бюджетным ассигнованиям (форма 0503127). </w:t>
      </w:r>
    </w:p>
    <w:p>
      <w:pPr>
        <w:pStyle w:val="Normal"/>
        <w:ind w:firstLine="708"/>
        <w:jc w:val="both"/>
        <w:rPr>
          <w:b/>
          <w:b/>
          <w:sz w:val="28"/>
          <w:szCs w:val="28"/>
        </w:rPr>
      </w:pPr>
      <w:r>
        <w:rPr>
          <w:b/>
          <w:sz w:val="28"/>
          <w:szCs w:val="28"/>
        </w:rPr>
      </w:r>
    </w:p>
    <w:p>
      <w:pPr>
        <w:pStyle w:val="Normal"/>
        <w:ind w:firstLine="708"/>
        <w:jc w:val="center"/>
        <w:rPr>
          <w:b/>
          <w:b/>
          <w:i/>
          <w:i/>
          <w:sz w:val="28"/>
          <w:szCs w:val="28"/>
        </w:rPr>
      </w:pPr>
      <w:r>
        <w:rPr>
          <w:b/>
          <w:i/>
          <w:sz w:val="28"/>
          <w:szCs w:val="28"/>
        </w:rPr>
        <w:t>Планирование неналоговых доходов</w:t>
      </w:r>
    </w:p>
    <w:p>
      <w:pPr>
        <w:pStyle w:val="Normal"/>
        <w:ind w:firstLine="708"/>
        <w:jc w:val="center"/>
        <w:rPr>
          <w:b/>
          <w:b/>
          <w:i/>
          <w:i/>
          <w:sz w:val="28"/>
          <w:szCs w:val="28"/>
        </w:rPr>
      </w:pPr>
      <w:r>
        <w:rPr>
          <w:b/>
          <w:i/>
          <w:sz w:val="28"/>
          <w:szCs w:val="28"/>
        </w:rPr>
      </w:r>
    </w:p>
    <w:p>
      <w:pPr>
        <w:pStyle w:val="Normal"/>
        <w:ind w:firstLine="708"/>
        <w:jc w:val="both"/>
        <w:rPr>
          <w:sz w:val="28"/>
          <w:szCs w:val="28"/>
        </w:rPr>
      </w:pPr>
      <w:r>
        <w:rPr>
          <w:sz w:val="28"/>
          <w:szCs w:val="28"/>
        </w:rPr>
        <w:t xml:space="preserve">В соответствии со ст. 160.1 Бюджетного кодекса Российской Федерации планирование бюджетных назначений по доходам от использования   земельных ресурсов на 2017 год основано на прогнозе плановых поступлений в городской бюджет. </w:t>
      </w:r>
    </w:p>
    <w:p>
      <w:pPr>
        <w:pStyle w:val="Normal"/>
        <w:ind w:firstLine="708"/>
        <w:jc w:val="both"/>
        <w:rPr>
          <w:sz w:val="28"/>
          <w:szCs w:val="28"/>
        </w:rPr>
      </w:pPr>
      <w:r>
        <w:rPr>
          <w:sz w:val="28"/>
          <w:szCs w:val="28"/>
        </w:rPr>
        <w:t xml:space="preserve">Методика формирования прогнозируемых неналоговых доходов                          в проверяемом периоде разработана и утверждена. </w:t>
      </w:r>
    </w:p>
    <w:p>
      <w:pPr>
        <w:pStyle w:val="Normal"/>
        <w:ind w:firstLine="708"/>
        <w:jc w:val="both"/>
        <w:rPr>
          <w:sz w:val="28"/>
          <w:szCs w:val="28"/>
        </w:rPr>
      </w:pPr>
      <w:r>
        <w:rPr>
          <w:sz w:val="28"/>
          <w:szCs w:val="28"/>
        </w:rPr>
        <w:t xml:space="preserve">Администратором доходов бюджета расчет прогноза поступлений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производится в следующем порядке:  </w:t>
      </w:r>
    </w:p>
    <w:p>
      <w:pPr>
        <w:pStyle w:val="Normal"/>
        <w:ind w:firstLine="708"/>
        <w:jc w:val="both"/>
        <w:rPr>
          <w:sz w:val="28"/>
          <w:szCs w:val="28"/>
        </w:rPr>
      </w:pPr>
      <w:r>
        <w:rPr>
          <w:sz w:val="28"/>
          <w:szCs w:val="28"/>
        </w:rPr>
        <w:t>-на 2017 год за основу принято начисление арендной платы за 2016 год, применен процент собираемости доходов от арендной платы, учтен прирост договоров аренды, взыскание   задолженности по арендной плате за землю, фактическое исполнение по аренде земли составило 107,8 %;</w:t>
      </w:r>
    </w:p>
    <w:p>
      <w:pPr>
        <w:pStyle w:val="Normal"/>
        <w:ind w:firstLine="708"/>
        <w:jc w:val="both"/>
        <w:rPr>
          <w:sz w:val="28"/>
          <w:szCs w:val="28"/>
        </w:rPr>
      </w:pPr>
      <w:r>
        <w:rPr>
          <w:sz w:val="28"/>
          <w:szCs w:val="28"/>
        </w:rPr>
        <w:t>- за 2017 год фактическое исполнение от продажи земельных участков                  в государственная собственность на которые не разграничена и которые расположены в границах городских округов составила 87,6 %.</w:t>
      </w:r>
    </w:p>
    <w:p>
      <w:pPr>
        <w:pStyle w:val="Normal"/>
        <w:ind w:firstLine="708"/>
        <w:jc w:val="both"/>
        <w:rPr>
          <w:sz w:val="28"/>
          <w:szCs w:val="28"/>
        </w:rPr>
      </w:pPr>
      <w:r>
        <w:rPr>
          <w:sz w:val="28"/>
          <w:szCs w:val="28"/>
        </w:rPr>
        <w:t>-на 2017 год за основу принято начисление арендной платы за 2016 год, с применением индекса дефлятора.</w:t>
      </w:r>
    </w:p>
    <w:p>
      <w:pPr>
        <w:pStyle w:val="Normal"/>
        <w:ind w:firstLine="708"/>
        <w:jc w:val="both"/>
        <w:rPr>
          <w:sz w:val="28"/>
          <w:szCs w:val="28"/>
        </w:rPr>
      </w:pPr>
      <w:r>
        <w:rPr>
          <w:sz w:val="28"/>
          <w:szCs w:val="28"/>
        </w:rPr>
        <w:t>Доходы от продажи земельных участков, государственная собственность на которые не разграничена и которые расположены в границах   городских округов планируются на основании Прогнозного плана приватизации муниципального имущества, утвержденного представительным органом и предлагаемой продажи земельных участков, государственная собственность на которые не разграничена.</w:t>
      </w:r>
    </w:p>
    <w:p>
      <w:pPr>
        <w:pStyle w:val="Normal"/>
        <w:jc w:val="center"/>
        <w:rPr>
          <w:b/>
          <w:b/>
          <w:sz w:val="28"/>
          <w:szCs w:val="28"/>
        </w:rPr>
      </w:pPr>
      <w:r>
        <w:rPr>
          <w:b/>
          <w:sz w:val="28"/>
          <w:szCs w:val="28"/>
        </w:rPr>
      </w:r>
    </w:p>
    <w:p>
      <w:pPr>
        <w:pStyle w:val="Normal"/>
        <w:jc w:val="center"/>
        <w:rPr>
          <w:b/>
          <w:b/>
          <w:sz w:val="28"/>
          <w:szCs w:val="28"/>
        </w:rPr>
      </w:pPr>
      <w:r>
        <w:rPr>
          <w:b/>
          <w:sz w:val="28"/>
          <w:szCs w:val="28"/>
        </w:rPr>
        <w:t>2.1.   Проверка полноты и своевременности поступления в бюджет        муниципального образования город Канска доходов от продажи земельных участков, доходов от продажи права аренды земельных участков, доходов от аренды земельных участков</w:t>
      </w:r>
    </w:p>
    <w:p>
      <w:pPr>
        <w:pStyle w:val="Normal"/>
        <w:jc w:val="center"/>
        <w:rPr>
          <w:b/>
          <w:b/>
          <w:sz w:val="28"/>
          <w:szCs w:val="28"/>
        </w:rPr>
      </w:pPr>
      <w:r>
        <w:rPr>
          <w:b/>
          <w:sz w:val="28"/>
          <w:szCs w:val="28"/>
        </w:rPr>
      </w:r>
    </w:p>
    <w:p>
      <w:pPr>
        <w:pStyle w:val="Normal"/>
        <w:widowControl w:val="false"/>
        <w:ind w:firstLine="708"/>
        <w:jc w:val="both"/>
        <w:rPr>
          <w:rFonts w:eastAsia="Calibri"/>
          <w:sz w:val="28"/>
          <w:szCs w:val="28"/>
        </w:rPr>
      </w:pPr>
      <w:r>
        <w:rPr>
          <w:rFonts w:eastAsia="Calibri"/>
          <w:sz w:val="28"/>
          <w:szCs w:val="28"/>
        </w:rPr>
        <w:t>По информационным данным предоставленным КУМИ количество действующих   договоров аренды составило: на 01.01.2017 года -2153;                  на 31.12.2017 года – 2152.</w:t>
      </w:r>
    </w:p>
    <w:p>
      <w:pPr>
        <w:pStyle w:val="Normal"/>
        <w:widowControl w:val="false"/>
        <w:ind w:firstLine="708"/>
        <w:jc w:val="both"/>
        <w:rPr>
          <w:rFonts w:eastAsia="Calibri"/>
          <w:sz w:val="28"/>
          <w:szCs w:val="28"/>
        </w:rPr>
      </w:pPr>
      <w:r>
        <w:rPr>
          <w:rFonts w:eastAsia="Calibri"/>
          <w:sz w:val="28"/>
          <w:szCs w:val="28"/>
        </w:rPr>
        <w:t>Из анализа вышеприведенных данных наблюдается снижение действующих договоров аренды по состоянию на 31.12.2017 года на 1 договор, по отношению к показателям на 01.01.2017 года.</w:t>
      </w:r>
    </w:p>
    <w:p>
      <w:pPr>
        <w:pStyle w:val="Normal"/>
        <w:widowControl w:val="false"/>
        <w:ind w:firstLine="708"/>
        <w:jc w:val="both"/>
        <w:rPr>
          <w:rFonts w:eastAsia="Calibri"/>
          <w:sz w:val="28"/>
          <w:szCs w:val="28"/>
        </w:rPr>
      </w:pPr>
      <w:r>
        <w:rPr>
          <w:rFonts w:eastAsia="Calibri"/>
          <w:sz w:val="28"/>
          <w:szCs w:val="28"/>
        </w:rPr>
        <w:t xml:space="preserve">Согласно данных годового отчета  об исполнении бюджета за 2017 год,   </w:t>
      </w:r>
      <w:r>
        <w:rPr>
          <w:sz w:val="28"/>
          <w:szCs w:val="28"/>
        </w:rPr>
        <w:t xml:space="preserve">исполнение плановых показателей  по доходам, полученным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участков  (КБК     000 111 05 012 04 0000 120)  исполнены в сумме  23 071 700,00 </w:t>
      </w:r>
      <w:r>
        <w:rPr>
          <w:rFonts w:eastAsia="Calibri" w:eastAsiaTheme="minorHAnsi"/>
          <w:sz w:val="28"/>
          <w:szCs w:val="28"/>
          <w:lang w:eastAsia="en-US"/>
        </w:rPr>
        <w:t>рублей</w:t>
      </w:r>
      <w:r>
        <w:rPr>
          <w:sz w:val="28"/>
          <w:szCs w:val="28"/>
        </w:rPr>
        <w:t xml:space="preserve">, </w:t>
      </w:r>
      <w:r>
        <w:rPr>
          <w:rFonts w:eastAsia="Calibri"/>
          <w:sz w:val="28"/>
          <w:szCs w:val="28"/>
        </w:rPr>
        <w:t xml:space="preserve">при утвержденных плановых показателях 21 392 300,00 </w:t>
      </w:r>
      <w:r>
        <w:rPr>
          <w:rFonts w:eastAsia="Calibri" w:eastAsiaTheme="minorHAnsi"/>
          <w:sz w:val="28"/>
          <w:szCs w:val="28"/>
          <w:lang w:eastAsia="en-US"/>
        </w:rPr>
        <w:t xml:space="preserve">рублей, </w:t>
      </w:r>
      <w:r>
        <w:rPr>
          <w:rFonts w:eastAsia="Calibri"/>
          <w:sz w:val="28"/>
          <w:szCs w:val="28"/>
        </w:rPr>
        <w:t>или 107,85 % к  утвержденным плановым показателям.</w:t>
      </w:r>
    </w:p>
    <w:p>
      <w:pPr>
        <w:pStyle w:val="Normal"/>
        <w:widowControl w:val="false"/>
        <w:ind w:firstLine="708"/>
        <w:jc w:val="both"/>
        <w:rPr>
          <w:sz w:val="28"/>
          <w:szCs w:val="28"/>
        </w:rPr>
      </w:pPr>
      <w:r>
        <w:rPr>
          <w:sz w:val="28"/>
          <w:szCs w:val="28"/>
        </w:rPr>
        <w:t xml:space="preserve">Информация по управлению и распоряжению земельными ресурсами                    за 2017 год </w:t>
      </w:r>
      <w:r>
        <w:rPr>
          <w:rFonts w:eastAsia="Calibri"/>
          <w:sz w:val="28"/>
          <w:szCs w:val="28"/>
        </w:rPr>
        <w:t>КУМИ</w:t>
      </w:r>
      <w:r>
        <w:rPr>
          <w:sz w:val="28"/>
          <w:szCs w:val="28"/>
        </w:rPr>
        <w:t xml:space="preserve"> предоставлена по уровням бюджетов, контрольно-счетным органом проведен анализ полученных данных с данными отраженными                          в Годовом отчете муниципального образования город Канск по средствам местного бюджета.                      </w:t>
      </w:r>
    </w:p>
    <w:p>
      <w:pPr>
        <w:pStyle w:val="Normal"/>
        <w:jc w:val="right"/>
        <w:rPr/>
      </w:pPr>
      <w:r>
        <w:rPr/>
      </w:r>
    </w:p>
    <w:p>
      <w:pPr>
        <w:pStyle w:val="Normal"/>
        <w:jc w:val="right"/>
        <w:rPr/>
      </w:pPr>
      <w:r>
        <w:rPr/>
        <w:t>(таблица2)</w:t>
      </w:r>
    </w:p>
    <w:tbl>
      <w:tblPr>
        <w:tblStyle w:val="10"/>
        <w:tblW w:w="10028" w:type="dxa"/>
        <w:jc w:val="right"/>
        <w:tblInd w:w="0" w:type="dxa"/>
        <w:tblCellMar>
          <w:top w:w="0" w:type="dxa"/>
          <w:left w:w="108" w:type="dxa"/>
          <w:bottom w:w="0" w:type="dxa"/>
          <w:right w:w="108" w:type="dxa"/>
        </w:tblCellMar>
        <w:tblLook w:firstRow="1" w:noVBand="1" w:lastRow="0" w:firstColumn="1" w:lastColumn="0" w:noHBand="0" w:val="04a0"/>
      </w:tblPr>
      <w:tblGrid>
        <w:gridCol w:w="566"/>
        <w:gridCol w:w="2551"/>
        <w:gridCol w:w="1412"/>
        <w:gridCol w:w="1245"/>
        <w:gridCol w:w="1164"/>
        <w:gridCol w:w="1"/>
        <w:gridCol w:w="1557"/>
        <w:gridCol w:w="1"/>
        <w:gridCol w:w="1530"/>
      </w:tblGrid>
      <w:tr>
        <w:trPr/>
        <w:tc>
          <w:tcPr>
            <w:tcW w:w="566" w:type="dxa"/>
            <w:vMerge w:val="restart"/>
            <w:tcBorders/>
            <w:shd w:fill="auto" w:val="clear"/>
            <w:vAlign w:val="cente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w:t>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п/п</w:t>
            </w:r>
          </w:p>
        </w:tc>
        <w:tc>
          <w:tcPr>
            <w:tcW w:w="2551" w:type="dxa"/>
            <w:vMerge w:val="restart"/>
            <w:tcBorders/>
            <w:shd w:fill="auto" w:val="clear"/>
            <w:vAlign w:val="cente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Показатели</w:t>
            </w:r>
          </w:p>
        </w:tc>
        <w:tc>
          <w:tcPr>
            <w:tcW w:w="1412" w:type="dxa"/>
            <w:vMerge w:val="restart"/>
            <w:tcBorders/>
            <w:shd w:fill="auto" w:val="clear"/>
            <w:vAlign w:val="cente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Информация   полученная в ходе проверки от КУМИ (тыс.руб.)</w:t>
            </w:r>
          </w:p>
        </w:tc>
        <w:tc>
          <w:tcPr>
            <w:tcW w:w="2410" w:type="dxa"/>
            <w:gridSpan w:val="3"/>
            <w:tcBorders/>
            <w:shd w:fill="auto" w:val="clear"/>
            <w:vAlign w:val="cente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Распределение по бюджетам бюджетной системы РФ рассчитана</w:t>
            </w:r>
          </w:p>
        </w:tc>
        <w:tc>
          <w:tcPr>
            <w:tcW w:w="1558" w:type="dxa"/>
            <w:gridSpan w:val="2"/>
            <w:vMerge w:val="restart"/>
            <w:tcBorders/>
            <w:shd w:fill="auto" w:val="clear"/>
            <w:vAlign w:val="center"/>
          </w:tcPr>
          <w:p>
            <w:pPr>
              <w:pStyle w:val="Normal"/>
              <w:rPr>
                <w:sz w:val="22"/>
                <w:szCs w:val="22"/>
              </w:rPr>
            </w:pPr>
            <w:r>
              <w:rPr>
                <w:rFonts w:eastAsia="Calibri" w:cs="" w:cstheme="minorBidi" w:eastAsiaTheme="minorHAnsi" w:ascii="Calibri" w:hAnsi="Calibri"/>
                <w:sz w:val="22"/>
                <w:szCs w:val="22"/>
                <w:lang w:eastAsia="en-US"/>
              </w:rPr>
              <w:t>Отчет о</w:t>
            </w:r>
          </w:p>
          <w:p>
            <w:pPr>
              <w:pStyle w:val="Normal"/>
              <w:rPr>
                <w:sz w:val="22"/>
                <w:szCs w:val="22"/>
              </w:rPr>
            </w:pPr>
            <w:r>
              <w:rPr>
                <w:rFonts w:eastAsia="Calibri" w:cs="" w:cstheme="minorBidi" w:eastAsiaTheme="minorHAnsi" w:ascii="Calibri" w:hAnsi="Calibri"/>
                <w:sz w:val="22"/>
                <w:szCs w:val="22"/>
                <w:lang w:eastAsia="en-US"/>
              </w:rPr>
              <w:t xml:space="preserve"> </w:t>
            </w:r>
            <w:r>
              <w:rPr>
                <w:rFonts w:eastAsia="Calibri" w:cs="" w:cstheme="minorBidi" w:eastAsiaTheme="minorHAnsi" w:ascii="Calibri" w:hAnsi="Calibri"/>
                <w:sz w:val="22"/>
                <w:szCs w:val="22"/>
                <w:lang w:eastAsia="en-US"/>
              </w:rPr>
              <w:t xml:space="preserve">доход. </w:t>
            </w:r>
          </w:p>
          <w:p>
            <w:pPr>
              <w:pStyle w:val="Normal"/>
              <w:rPr>
                <w:sz w:val="22"/>
                <w:szCs w:val="22"/>
              </w:rPr>
            </w:pPr>
            <w:r>
              <w:rPr>
                <w:rFonts w:eastAsia="Calibri" w:cs="" w:cstheme="minorBidi" w:eastAsiaTheme="minorHAnsi" w:ascii="Calibri" w:hAnsi="Calibri"/>
                <w:sz w:val="22"/>
                <w:szCs w:val="22"/>
                <w:lang w:eastAsia="en-US"/>
              </w:rPr>
              <w:t xml:space="preserve">получен. </w:t>
            </w:r>
          </w:p>
          <w:p>
            <w:pPr>
              <w:pStyle w:val="Normal"/>
              <w:rPr>
                <w:sz w:val="22"/>
                <w:szCs w:val="22"/>
              </w:rPr>
            </w:pPr>
            <w:r>
              <w:rPr>
                <w:rFonts w:eastAsia="Calibri" w:cs="" w:cstheme="minorBidi" w:eastAsiaTheme="minorHAnsi" w:ascii="Calibri" w:hAnsi="Calibri"/>
                <w:sz w:val="22"/>
                <w:szCs w:val="22"/>
                <w:lang w:eastAsia="en-US"/>
              </w:rPr>
              <w:t>от использов.</w:t>
            </w:r>
          </w:p>
          <w:p>
            <w:pPr>
              <w:pStyle w:val="Normal"/>
              <w:rPr>
                <w:sz w:val="22"/>
                <w:szCs w:val="22"/>
              </w:rPr>
            </w:pPr>
            <w:r>
              <w:rPr>
                <w:rFonts w:eastAsia="Calibri" w:cs="" w:cstheme="minorBidi" w:eastAsiaTheme="minorHAnsi" w:ascii="Calibri" w:hAnsi="Calibri"/>
                <w:sz w:val="22"/>
                <w:szCs w:val="22"/>
                <w:lang w:eastAsia="en-US"/>
              </w:rPr>
              <w:t>муницип. имущества предостав. к годовому отчету об исполнении бюджета города (тыс.руб.)</w:t>
            </w:r>
          </w:p>
        </w:tc>
        <w:tc>
          <w:tcPr>
            <w:tcW w:w="1530" w:type="dxa"/>
            <w:vMerge w:val="restart"/>
            <w:tcBorders/>
            <w:shd w:fill="auto" w:val="clear"/>
            <w:vAlign w:val="cente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Откло-</w:t>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нения</w:t>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(графа 3-графа 6)</w:t>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 xml:space="preserve">(графа 4-6)  </w:t>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(тыс.руб.)</w:t>
            </w:r>
          </w:p>
        </w:tc>
      </w:tr>
      <w:tr>
        <w:trPr/>
        <w:tc>
          <w:tcPr>
            <w:tcW w:w="566" w:type="dxa"/>
            <w:vMerge w:val="continue"/>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tc>
        <w:tc>
          <w:tcPr>
            <w:tcW w:w="2551" w:type="dxa"/>
            <w:vMerge w:val="continue"/>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tc>
        <w:tc>
          <w:tcPr>
            <w:tcW w:w="1412" w:type="dxa"/>
            <w:vMerge w:val="continue"/>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tc>
        <w:tc>
          <w:tcPr>
            <w:tcW w:w="1245" w:type="dxa"/>
            <w:tcBorders/>
            <w:shd w:fill="auto" w:val="clear"/>
            <w:vAlign w:val="cente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Местный бюджет</w:t>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100%  (тыс.руб.)</w:t>
            </w:r>
          </w:p>
        </w:tc>
        <w:tc>
          <w:tcPr>
            <w:tcW w:w="1164" w:type="dxa"/>
            <w:tcBorders/>
            <w:shd w:fill="auto" w:val="clear"/>
            <w:vAlign w:val="cente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Краевой бюджет</w:t>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0%  (тыс.руб.)</w:t>
            </w:r>
          </w:p>
        </w:tc>
        <w:tc>
          <w:tcPr>
            <w:tcW w:w="1558" w:type="dxa"/>
            <w:gridSpan w:val="2"/>
            <w:vMerge w:val="continue"/>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tc>
        <w:tc>
          <w:tcPr>
            <w:tcW w:w="1531" w:type="dxa"/>
            <w:gridSpan w:val="2"/>
            <w:vMerge w:val="continue"/>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tc>
      </w:tr>
      <w:tr>
        <w:trPr/>
        <w:tc>
          <w:tcPr>
            <w:tcW w:w="566" w:type="dxa"/>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 xml:space="preserve"> </w:t>
            </w:r>
            <w:r>
              <w:rPr>
                <w:rFonts w:eastAsia="Calibri" w:cs="" w:cstheme="minorBidi" w:eastAsiaTheme="minorHAnsi" w:ascii="Calibri" w:hAnsi="Calibri"/>
                <w:szCs w:val="22"/>
                <w:lang w:eastAsia="en-US"/>
              </w:rPr>
              <w:t>1</w:t>
            </w:r>
          </w:p>
        </w:tc>
        <w:tc>
          <w:tcPr>
            <w:tcW w:w="2551" w:type="dxa"/>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 xml:space="preserve">               </w:t>
            </w:r>
            <w:r>
              <w:rPr>
                <w:rFonts w:eastAsia="Calibri" w:cs="" w:cstheme="minorBidi" w:eastAsiaTheme="minorHAnsi" w:ascii="Calibri" w:hAnsi="Calibri"/>
                <w:szCs w:val="22"/>
                <w:lang w:eastAsia="en-US"/>
              </w:rPr>
              <w:t>2</w:t>
            </w:r>
          </w:p>
        </w:tc>
        <w:tc>
          <w:tcPr>
            <w:tcW w:w="1412" w:type="dxa"/>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 xml:space="preserve">          </w:t>
            </w:r>
            <w:r>
              <w:rPr>
                <w:rFonts w:eastAsia="Calibri" w:cs="" w:cstheme="minorBidi" w:eastAsiaTheme="minorHAnsi" w:ascii="Calibri" w:hAnsi="Calibri"/>
                <w:szCs w:val="22"/>
                <w:lang w:eastAsia="en-US"/>
              </w:rPr>
              <w:t>3</w:t>
            </w:r>
          </w:p>
        </w:tc>
        <w:tc>
          <w:tcPr>
            <w:tcW w:w="1245" w:type="dxa"/>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 xml:space="preserve">     </w:t>
            </w:r>
            <w:r>
              <w:rPr>
                <w:rFonts w:eastAsia="Calibri" w:cs="" w:cstheme="minorBidi" w:eastAsiaTheme="minorHAnsi" w:ascii="Calibri" w:hAnsi="Calibri"/>
                <w:szCs w:val="22"/>
                <w:lang w:eastAsia="en-US"/>
              </w:rPr>
              <w:t>4</w:t>
            </w:r>
          </w:p>
        </w:tc>
        <w:tc>
          <w:tcPr>
            <w:tcW w:w="1164" w:type="dxa"/>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 xml:space="preserve">      </w:t>
            </w:r>
            <w:r>
              <w:rPr>
                <w:rFonts w:eastAsia="Calibri" w:cs="" w:cstheme="minorBidi" w:eastAsiaTheme="minorHAnsi" w:ascii="Calibri" w:hAnsi="Calibri"/>
                <w:szCs w:val="22"/>
                <w:lang w:eastAsia="en-US"/>
              </w:rPr>
              <w:t>5</w:t>
            </w:r>
          </w:p>
        </w:tc>
        <w:tc>
          <w:tcPr>
            <w:tcW w:w="1558" w:type="dxa"/>
            <w:gridSpan w:val="2"/>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 xml:space="preserve">           </w:t>
            </w:r>
            <w:r>
              <w:rPr>
                <w:rFonts w:eastAsia="Calibri" w:cs="" w:cstheme="minorBidi" w:eastAsiaTheme="minorHAnsi" w:ascii="Calibri" w:hAnsi="Calibri"/>
                <w:szCs w:val="22"/>
                <w:lang w:eastAsia="en-US"/>
              </w:rPr>
              <w:t>6</w:t>
            </w:r>
          </w:p>
        </w:tc>
        <w:tc>
          <w:tcPr>
            <w:tcW w:w="1531" w:type="dxa"/>
            <w:gridSpan w:val="2"/>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 xml:space="preserve">     </w:t>
            </w:r>
            <w:r>
              <w:rPr>
                <w:rFonts w:eastAsia="Calibri" w:cs="" w:cstheme="minorBidi" w:eastAsiaTheme="minorHAnsi" w:ascii="Calibri" w:hAnsi="Calibri"/>
                <w:szCs w:val="22"/>
                <w:lang w:eastAsia="en-US"/>
              </w:rPr>
              <w:t>7</w:t>
            </w:r>
          </w:p>
        </w:tc>
      </w:tr>
      <w:tr>
        <w:trPr/>
        <w:tc>
          <w:tcPr>
            <w:tcW w:w="566" w:type="dxa"/>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1.</w:t>
            </w:r>
          </w:p>
        </w:tc>
        <w:tc>
          <w:tcPr>
            <w:tcW w:w="2551" w:type="dxa"/>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Задолженность по арендной плате за использование земельных участков на 01.01.2017</w:t>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 недоимка (-)</w:t>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-переплата (+)</w:t>
            </w:r>
          </w:p>
        </w:tc>
        <w:tc>
          <w:tcPr>
            <w:tcW w:w="1412" w:type="dxa"/>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27 51 ,1</w:t>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4 059,4</w:t>
            </w:r>
          </w:p>
        </w:tc>
        <w:tc>
          <w:tcPr>
            <w:tcW w:w="1245" w:type="dxa"/>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27 51 ,1</w:t>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4 059,4</w:t>
            </w:r>
          </w:p>
        </w:tc>
        <w:tc>
          <w:tcPr>
            <w:tcW w:w="1164" w:type="dxa"/>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0,0</w:t>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0,0</w:t>
            </w:r>
          </w:p>
        </w:tc>
        <w:tc>
          <w:tcPr>
            <w:tcW w:w="1558" w:type="dxa"/>
            <w:gridSpan w:val="2"/>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27 51 ,1</w:t>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4 059,4</w:t>
            </w:r>
          </w:p>
        </w:tc>
        <w:tc>
          <w:tcPr>
            <w:tcW w:w="1531" w:type="dxa"/>
            <w:gridSpan w:val="2"/>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0,0</w:t>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0,0</w:t>
            </w:r>
          </w:p>
        </w:tc>
      </w:tr>
      <w:tr>
        <w:trPr/>
        <w:tc>
          <w:tcPr>
            <w:tcW w:w="566" w:type="dxa"/>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2.</w:t>
            </w:r>
          </w:p>
        </w:tc>
        <w:tc>
          <w:tcPr>
            <w:tcW w:w="2551" w:type="dxa"/>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 xml:space="preserve">Начислено арендной платы за использование земельных участков  </w:t>
            </w:r>
          </w:p>
        </w:tc>
        <w:tc>
          <w:tcPr>
            <w:tcW w:w="1412" w:type="dxa"/>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25 216,6</w:t>
            </w:r>
          </w:p>
        </w:tc>
        <w:tc>
          <w:tcPr>
            <w:tcW w:w="1245" w:type="dxa"/>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25 216,6</w:t>
            </w:r>
          </w:p>
        </w:tc>
        <w:tc>
          <w:tcPr>
            <w:tcW w:w="1164" w:type="dxa"/>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0,0</w:t>
            </w:r>
          </w:p>
        </w:tc>
        <w:tc>
          <w:tcPr>
            <w:tcW w:w="1558" w:type="dxa"/>
            <w:gridSpan w:val="2"/>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25 216,6</w:t>
            </w:r>
          </w:p>
        </w:tc>
        <w:tc>
          <w:tcPr>
            <w:tcW w:w="1531" w:type="dxa"/>
            <w:gridSpan w:val="2"/>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0,0</w:t>
            </w:r>
          </w:p>
        </w:tc>
      </w:tr>
      <w:tr>
        <w:trPr/>
        <w:tc>
          <w:tcPr>
            <w:tcW w:w="566" w:type="dxa"/>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3.</w:t>
            </w:r>
          </w:p>
        </w:tc>
        <w:tc>
          <w:tcPr>
            <w:tcW w:w="2551" w:type="dxa"/>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 xml:space="preserve">Поступление в бюджет  </w:t>
            </w:r>
          </w:p>
        </w:tc>
        <w:tc>
          <w:tcPr>
            <w:tcW w:w="1412" w:type="dxa"/>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23 071,7</w:t>
            </w:r>
          </w:p>
        </w:tc>
        <w:tc>
          <w:tcPr>
            <w:tcW w:w="1245" w:type="dxa"/>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23 071,7</w:t>
            </w:r>
          </w:p>
        </w:tc>
        <w:tc>
          <w:tcPr>
            <w:tcW w:w="1164" w:type="dxa"/>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0,0</w:t>
            </w:r>
          </w:p>
        </w:tc>
        <w:tc>
          <w:tcPr>
            <w:tcW w:w="1558" w:type="dxa"/>
            <w:gridSpan w:val="2"/>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23 071,7</w:t>
            </w:r>
          </w:p>
        </w:tc>
        <w:tc>
          <w:tcPr>
            <w:tcW w:w="1531" w:type="dxa"/>
            <w:gridSpan w:val="2"/>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0,0</w:t>
            </w:r>
          </w:p>
        </w:tc>
      </w:tr>
      <w:tr>
        <w:trPr/>
        <w:tc>
          <w:tcPr>
            <w:tcW w:w="566" w:type="dxa"/>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4.</w:t>
            </w:r>
          </w:p>
        </w:tc>
        <w:tc>
          <w:tcPr>
            <w:tcW w:w="2551" w:type="dxa"/>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 xml:space="preserve">Задолженность по арендной плате за использование земельных участков на 01.01.2018 </w:t>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 недоимка (-)</w:t>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-переплата (+)</w:t>
            </w:r>
          </w:p>
        </w:tc>
        <w:tc>
          <w:tcPr>
            <w:tcW w:w="1412" w:type="dxa"/>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30 872,0</w:t>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5 268,3</w:t>
            </w:r>
          </w:p>
        </w:tc>
        <w:tc>
          <w:tcPr>
            <w:tcW w:w="1245" w:type="dxa"/>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30 872,0</w:t>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5 268,3</w:t>
            </w:r>
          </w:p>
        </w:tc>
        <w:tc>
          <w:tcPr>
            <w:tcW w:w="1164" w:type="dxa"/>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0,0</w:t>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0,0</w:t>
            </w:r>
          </w:p>
        </w:tc>
        <w:tc>
          <w:tcPr>
            <w:tcW w:w="1558" w:type="dxa"/>
            <w:gridSpan w:val="2"/>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30 872,0</w:t>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5 268,3</w:t>
            </w:r>
          </w:p>
        </w:tc>
        <w:tc>
          <w:tcPr>
            <w:tcW w:w="1531" w:type="dxa"/>
            <w:gridSpan w:val="2"/>
            <w:tcBorders/>
            <w:shd w:fill="auto" w:val="clear"/>
          </w:tcPr>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0,0</w:t>
            </w:r>
          </w:p>
          <w:p>
            <w:pPr>
              <w:pStyle w:val="Normal"/>
              <w:rPr>
                <w:rFonts w:ascii="Calibri" w:hAnsi="Calibri" w:eastAsia="Calibri" w:cs="" w:asciiTheme="minorHAnsi" w:cstheme="minorBidi" w:eastAsiaTheme="minorHAnsi" w:hAnsiTheme="minorHAnsi"/>
                <w:szCs w:val="22"/>
                <w:lang w:eastAsia="en-US"/>
              </w:rPr>
            </w:pPr>
            <w:r>
              <w:rPr>
                <w:rFonts w:eastAsia="Calibri" w:cs="" w:cstheme="minorBidi" w:eastAsiaTheme="minorHAnsi" w:ascii="Calibri" w:hAnsi="Calibri"/>
                <w:szCs w:val="22"/>
                <w:lang w:eastAsia="en-US"/>
              </w:rPr>
              <w:t>0,0</w:t>
            </w:r>
          </w:p>
        </w:tc>
      </w:tr>
    </w:tbl>
    <w:p>
      <w:pPr>
        <w:pStyle w:val="Normal"/>
        <w:ind w:firstLine="708"/>
        <w:jc w:val="both"/>
        <w:rPr>
          <w:sz w:val="28"/>
          <w:szCs w:val="28"/>
        </w:rPr>
      </w:pPr>
      <w:r>
        <w:rPr>
          <w:sz w:val="28"/>
          <w:szCs w:val="28"/>
        </w:rPr>
        <w:t xml:space="preserve">Информация, предоставленная КУМИ, достоверна в сравнении                       с показателями, предоставленными КУМИ о доходах, полученных в виде арендной платы за использование земельных участков и Отчетом о доходах, полученных от использования   муниципального имущества к годовому отчету об исполнении бюджета за 2017 год. </w:t>
      </w:r>
    </w:p>
    <w:p>
      <w:pPr>
        <w:pStyle w:val="Normal"/>
        <w:ind w:firstLine="708"/>
        <w:jc w:val="both"/>
        <w:rPr>
          <w:sz w:val="28"/>
          <w:szCs w:val="28"/>
        </w:rPr>
      </w:pPr>
      <w:r>
        <w:rPr>
          <w:sz w:val="28"/>
          <w:szCs w:val="28"/>
        </w:rPr>
        <w:t xml:space="preserve">КУМИ как главным администратором доходов бюджета обеспечено информационное взаимодействие с Управления Федерального казначейства по Красноярскому краю в части получения выписок по доходам, обеспечен обмен данными из СУФД, и выгрузка данных в автоматическом режиме                          в программу </w:t>
      </w:r>
      <w:r>
        <w:rPr>
          <w:sz w:val="28"/>
          <w:szCs w:val="28"/>
          <w:lang w:val="en-US"/>
        </w:rPr>
        <w:t>SAUMI</w:t>
      </w:r>
      <w:r>
        <w:rPr>
          <w:sz w:val="28"/>
          <w:szCs w:val="28"/>
        </w:rPr>
        <w:t xml:space="preserve">. </w:t>
      </w:r>
    </w:p>
    <w:p>
      <w:pPr>
        <w:pStyle w:val="Normal"/>
        <w:ind w:firstLine="708"/>
        <w:jc w:val="both"/>
        <w:rPr>
          <w:sz w:val="28"/>
          <w:szCs w:val="28"/>
        </w:rPr>
      </w:pPr>
      <w:r>
        <w:rPr>
          <w:sz w:val="28"/>
          <w:szCs w:val="28"/>
        </w:rPr>
        <w:t xml:space="preserve"> </w:t>
      </w:r>
    </w:p>
    <w:p>
      <w:pPr>
        <w:pStyle w:val="Normal"/>
        <w:jc w:val="center"/>
        <w:rPr>
          <w:b/>
          <w:b/>
          <w:i/>
          <w:i/>
          <w:sz w:val="28"/>
          <w:szCs w:val="28"/>
        </w:rPr>
      </w:pPr>
      <w:r>
        <w:rPr>
          <w:b/>
          <w:i/>
          <w:sz w:val="28"/>
          <w:szCs w:val="28"/>
        </w:rPr>
        <w:t>Проверка отражения в бюджетном учете арендной платы, расчета и начисления задолженности по арендной плате.</w:t>
      </w:r>
    </w:p>
    <w:p>
      <w:pPr>
        <w:pStyle w:val="Normal"/>
        <w:jc w:val="center"/>
        <w:rPr>
          <w:i/>
          <w:i/>
          <w:sz w:val="26"/>
          <w:szCs w:val="26"/>
        </w:rPr>
      </w:pPr>
      <w:r>
        <w:rPr>
          <w:i/>
          <w:sz w:val="26"/>
          <w:szCs w:val="26"/>
        </w:rPr>
        <w:t>Постановка бюджетного учета и отчетности</w:t>
      </w:r>
    </w:p>
    <w:p>
      <w:pPr>
        <w:pStyle w:val="Normal"/>
        <w:jc w:val="center"/>
        <w:rPr>
          <w:i/>
          <w:i/>
          <w:sz w:val="26"/>
          <w:szCs w:val="26"/>
        </w:rPr>
      </w:pPr>
      <w:r>
        <w:rPr>
          <w:i/>
          <w:sz w:val="26"/>
          <w:szCs w:val="26"/>
        </w:rPr>
      </w:r>
    </w:p>
    <w:p>
      <w:pPr>
        <w:pStyle w:val="Normal"/>
        <w:jc w:val="both"/>
        <w:rPr>
          <w:sz w:val="28"/>
          <w:szCs w:val="28"/>
        </w:rPr>
      </w:pPr>
      <w:r>
        <w:rPr>
          <w:sz w:val="28"/>
          <w:szCs w:val="28"/>
        </w:rPr>
        <w:tab/>
        <w:t xml:space="preserve"> В соответствии статьи 11 Федерального закона от 06.12.2011 № 402             «О бухгалтерском учете», инвентаризации имущества и финансовых обязательств, проводилась инвентаризация и сверка расчетов по арендной плате для выявления реальной задолженности арендаторов по платежам                         в бюджеты бюджетной системы Российской Федерации. </w:t>
      </w:r>
    </w:p>
    <w:p>
      <w:pPr>
        <w:pStyle w:val="3"/>
        <w:ind w:firstLine="709"/>
        <w:rPr>
          <w:b w:val="false"/>
          <w:b w:val="false"/>
          <w:szCs w:val="28"/>
        </w:rPr>
      </w:pPr>
      <w:r>
        <w:rPr>
          <w:b w:val="false"/>
          <w:szCs w:val="28"/>
        </w:rPr>
        <w:t xml:space="preserve">В период проведения проверки проведен анализ приложения                             № 2 «Исполнение доходов бюджета города за 2017 год» Годового отчета                       </w:t>
      </w:r>
      <w:r>
        <w:rPr>
          <w:b w:val="false"/>
        </w:rPr>
        <w:t xml:space="preserve">Об утверждении отчета об исполнении бюджета города Канска за 2017 год </w:t>
      </w:r>
      <w:r>
        <w:rPr>
          <w:b w:val="false"/>
          <w:szCs w:val="28"/>
        </w:rPr>
        <w:t xml:space="preserve">                     и Отчета об исполнении бюджета (ф.0503127) к годовой бюджетной отчетности главного администратора доходов бюджета за 2017. Установлено соответствие утвержденных доходов бюджета главному администратору доходов решением Канского городского Совета депутатов от 21.12.2016            № 15-64 «О бюджете города Канска на 2017 год и плановый период 2018-2019 годов». </w:t>
      </w:r>
    </w:p>
    <w:p>
      <w:pPr>
        <w:pStyle w:val="Normal"/>
        <w:jc w:val="center"/>
        <w:rPr>
          <w:b/>
          <w:b/>
          <w:i/>
          <w:i/>
          <w:sz w:val="28"/>
          <w:szCs w:val="28"/>
        </w:rPr>
      </w:pPr>
      <w:r>
        <w:rPr>
          <w:b/>
          <w:i/>
          <w:sz w:val="28"/>
          <w:szCs w:val="28"/>
        </w:rPr>
      </w:r>
    </w:p>
    <w:p>
      <w:pPr>
        <w:pStyle w:val="Normal"/>
        <w:jc w:val="center"/>
        <w:rPr>
          <w:b/>
          <w:b/>
          <w:i/>
          <w:i/>
          <w:sz w:val="28"/>
          <w:szCs w:val="28"/>
        </w:rPr>
      </w:pPr>
      <w:r>
        <w:rPr>
          <w:b/>
          <w:i/>
          <w:sz w:val="28"/>
          <w:szCs w:val="28"/>
        </w:rPr>
        <w:t>Доходы, полученные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участков (пени, проценты)</w:t>
      </w:r>
    </w:p>
    <w:p>
      <w:pPr>
        <w:pStyle w:val="Normal"/>
        <w:jc w:val="center"/>
        <w:rPr>
          <w:b/>
          <w:b/>
          <w:sz w:val="28"/>
          <w:szCs w:val="28"/>
        </w:rPr>
      </w:pPr>
      <w:r>
        <w:rPr>
          <w:b/>
          <w:sz w:val="28"/>
          <w:szCs w:val="28"/>
        </w:rPr>
      </w:r>
    </w:p>
    <w:p>
      <w:pPr>
        <w:pStyle w:val="Normal"/>
        <w:ind w:firstLine="708"/>
        <w:jc w:val="both"/>
        <w:rPr>
          <w:sz w:val="28"/>
          <w:szCs w:val="28"/>
        </w:rPr>
      </w:pPr>
      <w:r>
        <w:rPr>
          <w:sz w:val="28"/>
          <w:szCs w:val="28"/>
        </w:rPr>
        <w:t>Пени по доходам, полученным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средствам                     от продажи права на заключение договоров аренды в доходах бюджета                               планируются. Фактически в бюджет города по КБК 000 111 05012 04 0000 120 поступило:</w:t>
      </w:r>
    </w:p>
    <w:p>
      <w:pPr>
        <w:pStyle w:val="Normal"/>
        <w:ind w:firstLine="708"/>
        <w:jc w:val="both"/>
        <w:rPr>
          <w:rFonts w:eastAsia="Calibri" w:eastAsiaTheme="minorHAnsi"/>
          <w:sz w:val="28"/>
          <w:szCs w:val="28"/>
          <w:lang w:eastAsia="en-US"/>
        </w:rPr>
      </w:pPr>
      <w:r>
        <w:rPr>
          <w:sz w:val="28"/>
          <w:szCs w:val="28"/>
        </w:rPr>
        <w:t xml:space="preserve">- за 2017 год в сумме 23 071 700,00 </w:t>
      </w:r>
      <w:r>
        <w:rPr>
          <w:rFonts w:eastAsia="Calibri" w:eastAsiaTheme="minorHAnsi"/>
          <w:sz w:val="28"/>
          <w:szCs w:val="28"/>
          <w:lang w:eastAsia="en-US"/>
        </w:rPr>
        <w:t>рублей.</w:t>
      </w:r>
    </w:p>
    <w:p>
      <w:pPr>
        <w:pStyle w:val="Normal"/>
        <w:ind w:firstLine="708"/>
        <w:jc w:val="both"/>
        <w:rPr>
          <w:strike/>
          <w:sz w:val="28"/>
          <w:szCs w:val="28"/>
        </w:rPr>
      </w:pPr>
      <w:r>
        <w:rPr>
          <w:sz w:val="28"/>
          <w:szCs w:val="28"/>
        </w:rPr>
        <w:t xml:space="preserve">       </w:t>
      </w:r>
      <w:r>
        <w:rPr>
          <w:sz w:val="28"/>
          <w:szCs w:val="28"/>
        </w:rPr>
        <w:t>Согласно условиям договора арендодатель в случае нарушения сроков уплаты арендных платежей арендатором, имеет право начислить пени                           в размере 0,1% от размера невнесенной арендной платы за каждый календарный день просрочки.</w:t>
      </w:r>
    </w:p>
    <w:p>
      <w:pPr>
        <w:pStyle w:val="Normal"/>
        <w:ind w:firstLine="708"/>
        <w:jc w:val="both"/>
        <w:rPr>
          <w:sz w:val="28"/>
          <w:szCs w:val="28"/>
        </w:rPr>
      </w:pPr>
      <w:r>
        <w:rPr>
          <w:sz w:val="28"/>
          <w:szCs w:val="28"/>
        </w:rPr>
        <w:t xml:space="preserve">КУМИ пени по контрагентам начисляются в автоматическом режиме. Но в результате внесения данных, обязательство по основной сумме долга не увеличивается на сумму начисленных пени. </w:t>
      </w:r>
    </w:p>
    <w:p>
      <w:pPr>
        <w:pStyle w:val="Normal"/>
        <w:ind w:firstLine="708"/>
        <w:jc w:val="both"/>
        <w:rPr>
          <w:sz w:val="28"/>
          <w:szCs w:val="28"/>
        </w:rPr>
      </w:pPr>
      <w:r>
        <w:rPr>
          <w:sz w:val="28"/>
          <w:szCs w:val="28"/>
        </w:rPr>
        <w:t xml:space="preserve">В период проведения проверки сверить начисление пени с базой данных не представляется возможным, в связи с предоставлением не полной информации, связанной сне полным освоение программы </w:t>
      </w:r>
      <w:r>
        <w:rPr>
          <w:sz w:val="28"/>
          <w:szCs w:val="28"/>
          <w:lang w:val="en-US"/>
        </w:rPr>
        <w:t>SAUMI</w:t>
      </w:r>
      <w:r>
        <w:rPr>
          <w:sz w:val="28"/>
          <w:szCs w:val="28"/>
        </w:rPr>
        <w:t>.</w:t>
      </w:r>
    </w:p>
    <w:p>
      <w:pPr>
        <w:pStyle w:val="Normal"/>
        <w:ind w:firstLine="708"/>
        <w:jc w:val="both"/>
        <w:rPr>
          <w:sz w:val="28"/>
          <w:szCs w:val="28"/>
        </w:rPr>
      </w:pPr>
      <w:r>
        <w:rPr>
          <w:sz w:val="28"/>
          <w:szCs w:val="28"/>
        </w:rPr>
      </w:r>
    </w:p>
    <w:p>
      <w:pPr>
        <w:pStyle w:val="Normal"/>
        <w:ind w:firstLine="708"/>
        <w:jc w:val="both"/>
        <w:rPr>
          <w:rFonts w:eastAsia="Calibri" w:eastAsiaTheme="minorHAnsi"/>
          <w:b/>
          <w:b/>
          <w:i/>
          <w:i/>
          <w:sz w:val="28"/>
          <w:szCs w:val="28"/>
          <w:lang w:eastAsia="en-US"/>
        </w:rPr>
      </w:pPr>
      <w:r>
        <w:rPr>
          <w:rFonts w:eastAsia="Calibri" w:eastAsiaTheme="minorHAnsi"/>
          <w:b/>
          <w:i/>
          <w:sz w:val="28"/>
          <w:szCs w:val="28"/>
          <w:lang w:eastAsia="en-US"/>
        </w:rPr>
        <w:t>Предоставление земельных участков путем проведения аукционов по продаже права аренды земельных участков</w:t>
      </w:r>
    </w:p>
    <w:p>
      <w:pPr>
        <w:pStyle w:val="Normal"/>
        <w:ind w:firstLine="708"/>
        <w:jc w:val="both"/>
        <w:rPr>
          <w:b/>
          <w:b/>
          <w:i/>
          <w:i/>
          <w:color w:val="C00000"/>
          <w:sz w:val="28"/>
          <w:szCs w:val="28"/>
        </w:rPr>
      </w:pPr>
      <w:r>
        <w:rPr>
          <w:b/>
          <w:i/>
          <w:color w:val="C00000"/>
          <w:sz w:val="28"/>
          <w:szCs w:val="28"/>
        </w:rPr>
      </w:r>
    </w:p>
    <w:p>
      <w:pPr>
        <w:pStyle w:val="Normal"/>
        <w:ind w:firstLine="709"/>
        <w:jc w:val="both"/>
        <w:rPr>
          <w:rFonts w:eastAsia="Calibri" w:eastAsiaTheme="minorHAnsi"/>
          <w:sz w:val="28"/>
          <w:szCs w:val="28"/>
          <w:lang w:eastAsia="en-US"/>
        </w:rPr>
      </w:pPr>
      <w:r>
        <w:rPr>
          <w:rFonts w:eastAsia="Calibri" w:eastAsiaTheme="minorHAnsi"/>
          <w:sz w:val="28"/>
          <w:szCs w:val="28"/>
          <w:lang w:eastAsia="en-US"/>
        </w:rPr>
        <w:t>В целях пополнения доходной части городского бюджета за счет платы за землю, исключения коррупциогенных факторов и соблюдения принципа сочетания интересов общества и законных интересов граждан предоставление земельных участков осуществляется путем проведения аукционов по продаже права аренды земельных участков.</w:t>
      </w:r>
    </w:p>
    <w:p>
      <w:pPr>
        <w:pStyle w:val="Normal"/>
        <w:ind w:firstLine="709"/>
        <w:jc w:val="both"/>
        <w:rPr>
          <w:rFonts w:eastAsia="Calibri" w:eastAsiaTheme="minorHAnsi"/>
          <w:sz w:val="28"/>
          <w:szCs w:val="28"/>
          <w:lang w:eastAsia="en-US"/>
        </w:rPr>
      </w:pPr>
      <w:r>
        <w:rPr>
          <w:rFonts w:eastAsia="Calibri" w:eastAsiaTheme="minorHAnsi"/>
          <w:sz w:val="28"/>
          <w:szCs w:val="28"/>
          <w:lang w:eastAsia="en-US"/>
        </w:rPr>
        <w:t>Согласно Постановления от 30.09.2013 № 1332 «Об утверждении регламента взаимодействия функциональных подразделений администрации города Канска при организации и проведении торгов по продаже земельных участков, права на заключения договоров аренды земельных участков                            на территории муниципального образования город Канск»:</w:t>
      </w:r>
    </w:p>
    <w:p>
      <w:pPr>
        <w:pStyle w:val="Normal"/>
        <w:ind w:firstLine="709"/>
        <w:jc w:val="both"/>
        <w:rPr>
          <w:rFonts w:eastAsia="Calibri" w:eastAsiaTheme="minorHAnsi"/>
          <w:sz w:val="28"/>
          <w:szCs w:val="28"/>
          <w:lang w:eastAsia="en-US"/>
        </w:rPr>
      </w:pPr>
      <w:r>
        <w:rPr>
          <w:rFonts w:eastAsia="Calibri" w:eastAsiaTheme="minorHAnsi"/>
          <w:sz w:val="28"/>
          <w:szCs w:val="28"/>
          <w:lang w:eastAsia="en-US"/>
        </w:rPr>
        <w:t xml:space="preserve"> </w:t>
      </w:r>
      <w:r>
        <w:rPr>
          <w:rFonts w:eastAsia="Calibri" w:eastAsiaTheme="minorHAnsi"/>
          <w:sz w:val="28"/>
          <w:szCs w:val="28"/>
          <w:lang w:eastAsia="en-US"/>
        </w:rPr>
        <w:t>п. 2 организатором торгов и продавцом по продаже выступает Управление архитектуры и инвестиции администрации города Канска.</w:t>
      </w:r>
    </w:p>
    <w:p>
      <w:pPr>
        <w:pStyle w:val="Normal"/>
        <w:ind w:firstLine="709"/>
        <w:jc w:val="both"/>
        <w:rPr>
          <w:rFonts w:eastAsia="Calibri" w:eastAsiaTheme="minorHAnsi"/>
          <w:sz w:val="28"/>
          <w:szCs w:val="28"/>
          <w:lang w:eastAsia="en-US"/>
        </w:rPr>
      </w:pPr>
      <w:r>
        <w:rPr>
          <w:rFonts w:eastAsia="Calibri" w:eastAsiaTheme="minorHAnsi"/>
          <w:sz w:val="28"/>
          <w:szCs w:val="28"/>
          <w:lang w:eastAsia="en-US"/>
        </w:rPr>
        <w:t xml:space="preserve">п.4. </w:t>
      </w:r>
      <w:r>
        <w:rPr>
          <w:sz w:val="28"/>
          <w:szCs w:val="28"/>
        </w:rPr>
        <w:t>Комитет по управлению муниципальным имуществом города Канска</w:t>
      </w:r>
      <w:r>
        <w:rPr>
          <w:rFonts w:eastAsia="Calibri" w:eastAsiaTheme="minorHAnsi"/>
          <w:sz w:val="28"/>
          <w:szCs w:val="28"/>
          <w:lang w:eastAsia="en-US"/>
        </w:rPr>
        <w:t xml:space="preserve"> осуществляет функции на заключение договора аренды земельного участка и договора купли-продажи.</w:t>
      </w:r>
    </w:p>
    <w:p>
      <w:pPr>
        <w:pStyle w:val="Normal"/>
        <w:ind w:firstLine="709"/>
        <w:jc w:val="both"/>
        <w:rPr>
          <w:rFonts w:eastAsia="Calibri" w:eastAsiaTheme="minorHAnsi"/>
          <w:sz w:val="28"/>
          <w:szCs w:val="28"/>
          <w:lang w:eastAsia="en-US"/>
        </w:rPr>
      </w:pPr>
      <w:r>
        <w:rPr>
          <w:rFonts w:eastAsia="Calibri" w:eastAsiaTheme="minorHAnsi"/>
          <w:sz w:val="28"/>
          <w:szCs w:val="28"/>
          <w:lang w:eastAsia="en-US"/>
        </w:rPr>
        <w:t xml:space="preserve"> </w:t>
      </w:r>
      <w:r>
        <w:rPr>
          <w:rFonts w:eastAsia="Calibri" w:eastAsiaTheme="minorHAnsi"/>
          <w:sz w:val="28"/>
          <w:szCs w:val="28"/>
          <w:lang w:eastAsia="en-US"/>
        </w:rPr>
        <w:t xml:space="preserve">В 2017 году объявлены аукционы на право аренды земельных участков в количестве 56, признаны несостоявшимися по причине отсутствия допущенных участников 2 аукциона, признан несостоявшимся по причине отказа от подписи протокола результатов 1 аукцион, признан несостоявшимся по причине неявки участника 1 аукцион. </w:t>
      </w:r>
    </w:p>
    <w:p>
      <w:pPr>
        <w:pStyle w:val="Normal"/>
        <w:ind w:firstLine="709"/>
        <w:jc w:val="both"/>
        <w:rPr>
          <w:rFonts w:eastAsia="Calibri" w:eastAsiaTheme="minorHAnsi"/>
          <w:sz w:val="28"/>
          <w:szCs w:val="28"/>
          <w:lang w:eastAsia="en-US"/>
        </w:rPr>
      </w:pPr>
      <w:r>
        <w:rPr>
          <w:rFonts w:eastAsia="Calibri" w:eastAsiaTheme="minorHAnsi"/>
          <w:sz w:val="28"/>
          <w:szCs w:val="28"/>
          <w:lang w:eastAsia="en-US"/>
        </w:rPr>
        <w:t>По предоставленной информации проведенным аукционам (торгам)                   по продаже права аренды земельных участков, согласно прилагаемой таблицы:</w:t>
      </w:r>
    </w:p>
    <w:tbl>
      <w:tblPr>
        <w:tblW w:w="10916" w:type="dxa"/>
        <w:jc w:val="left"/>
        <w:tblInd w:w="-998" w:type="dxa"/>
        <w:tblCellMar>
          <w:top w:w="0" w:type="dxa"/>
          <w:left w:w="108" w:type="dxa"/>
          <w:bottom w:w="0" w:type="dxa"/>
          <w:right w:w="108" w:type="dxa"/>
        </w:tblCellMar>
        <w:tblLook w:firstRow="1" w:noVBand="1" w:lastRow="0" w:firstColumn="1" w:lastColumn="0" w:noHBand="0" w:val="04a0"/>
      </w:tblPr>
      <w:tblGrid>
        <w:gridCol w:w="566"/>
        <w:gridCol w:w="2126"/>
        <w:gridCol w:w="1416"/>
        <w:gridCol w:w="851"/>
        <w:gridCol w:w="1417"/>
        <w:gridCol w:w="1415"/>
        <w:gridCol w:w="1560"/>
        <w:gridCol w:w="1563"/>
      </w:tblGrid>
      <w:tr>
        <w:trPr>
          <w:trHeight w:val="1200" w:hRule="atLeast"/>
        </w:trPr>
        <w:tc>
          <w:tcPr>
            <w:tcW w:w="5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 xml:space="preserve">№ </w:t>
            </w:r>
            <w:r>
              <w:rPr>
                <w:color w:val="000000"/>
              </w:rPr>
              <w:t>п/п</w:t>
            </w:r>
          </w:p>
        </w:tc>
        <w:tc>
          <w:tcPr>
            <w:tcW w:w="2126"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Наименование арендатора</w:t>
            </w:r>
          </w:p>
        </w:tc>
        <w:tc>
          <w:tcPr>
            <w:tcW w:w="1416"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Дата проведения аукциона (торгов) в 2017 году</w:t>
            </w:r>
          </w:p>
        </w:tc>
        <w:tc>
          <w:tcPr>
            <w:tcW w:w="851" w:type="dxa"/>
            <w:tcBorders>
              <w:top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Дата заключения договора согласно ЗК РФ</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Дата заключения договора</w:t>
            </w:r>
          </w:p>
        </w:tc>
        <w:tc>
          <w:tcPr>
            <w:tcW w:w="1415"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Первоначальная цена по аукциону (тыс. руб)</w:t>
            </w:r>
          </w:p>
        </w:tc>
        <w:tc>
          <w:tcPr>
            <w:tcW w:w="1560"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Сумма после проведения аукциона (тыс. руб)</w:t>
            </w:r>
          </w:p>
        </w:tc>
        <w:tc>
          <w:tcPr>
            <w:tcW w:w="1563"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Несостоявшийся аукцион (указать причину)</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Ольшевский Е.А.</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06.04.2017г.</w:t>
            </w:r>
          </w:p>
        </w:tc>
        <w:tc>
          <w:tcPr>
            <w:tcW w:w="851" w:type="dxa"/>
            <w:vMerge w:val="restart"/>
            <w:tcBorders>
              <w:top w:val="single" w:sz="4" w:space="0" w:color="000000"/>
              <w:right w:val="single" w:sz="4" w:space="0" w:color="000000"/>
            </w:tcBorders>
            <w:shd w:fill="auto" w:val="clear"/>
            <w:textDirection w:val="btLr"/>
            <w:vAlign w:val="center"/>
          </w:tcPr>
          <w:p>
            <w:pPr>
              <w:pStyle w:val="Normal"/>
              <w:jc w:val="center"/>
              <w:rPr>
                <w:color w:val="000000"/>
              </w:rPr>
            </w:pPr>
            <w:r>
              <w:rPr>
                <w:color w:val="000000"/>
              </w:rPr>
              <w:t>17.04.2017</w:t>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14.04.2017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6110,32</w:t>
            </w:r>
          </w:p>
        </w:tc>
        <w:tc>
          <w:tcPr>
            <w:tcW w:w="156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6110,32</w:t>
            </w:r>
          </w:p>
        </w:tc>
        <w:tc>
          <w:tcPr>
            <w:tcW w:w="1563" w:type="dxa"/>
            <w:tcBorders>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2</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Хилько В.А.</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06.04.2017г.</w:t>
            </w:r>
          </w:p>
        </w:tc>
        <w:tc>
          <w:tcPr>
            <w:tcW w:w="851" w:type="dxa"/>
            <w:vMerge w:val="continue"/>
            <w:tcBorders>
              <w:bottom w:val="single" w:sz="4" w:space="0" w:color="000000"/>
              <w:right w:val="single" w:sz="4" w:space="0" w:color="000000"/>
            </w:tcBorders>
            <w:shd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14.04.2017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6457,62</w:t>
            </w:r>
          </w:p>
        </w:tc>
        <w:tc>
          <w:tcPr>
            <w:tcW w:w="156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6457,62</w:t>
            </w:r>
          </w:p>
        </w:tc>
        <w:tc>
          <w:tcPr>
            <w:tcW w:w="1563" w:type="dxa"/>
            <w:tcBorders>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3</w:t>
            </w:r>
          </w:p>
        </w:tc>
        <w:tc>
          <w:tcPr>
            <w:tcW w:w="2126"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Шкляев В.А.</w:t>
            </w:r>
          </w:p>
        </w:tc>
        <w:tc>
          <w:tcPr>
            <w:tcW w:w="1416"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06.04.2017г.</w:t>
            </w:r>
          </w:p>
        </w:tc>
        <w:tc>
          <w:tcPr>
            <w:tcW w:w="851" w:type="dxa"/>
            <w:vMerge w:val="continue"/>
            <w:tcBorders>
              <w:top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19.04.2017</w:t>
            </w:r>
          </w:p>
        </w:tc>
        <w:tc>
          <w:tcPr>
            <w:tcW w:w="1415"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6190,43</w:t>
            </w:r>
          </w:p>
        </w:tc>
        <w:tc>
          <w:tcPr>
            <w:tcW w:w="1560"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8790,37</w:t>
            </w:r>
          </w:p>
        </w:tc>
        <w:tc>
          <w:tcPr>
            <w:tcW w:w="1563" w:type="dxa"/>
            <w:tcBorders>
              <w:top w:val="single" w:sz="4" w:space="0" w:color="000000"/>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4</w:t>
            </w:r>
          </w:p>
        </w:tc>
        <w:tc>
          <w:tcPr>
            <w:tcW w:w="2126"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Хрущев С.В.</w:t>
            </w:r>
          </w:p>
        </w:tc>
        <w:tc>
          <w:tcPr>
            <w:tcW w:w="1416"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06.04.2017г.</w:t>
            </w:r>
          </w:p>
        </w:tc>
        <w:tc>
          <w:tcPr>
            <w:tcW w:w="851" w:type="dxa"/>
            <w:vMerge w:val="continue"/>
            <w:tcBorders>
              <w:top w:val="single" w:sz="4" w:space="0" w:color="000000"/>
              <w:right w:val="single" w:sz="4" w:space="0" w:color="000000"/>
            </w:tcBorders>
            <w:shd w:fill="auto" w:val="clear"/>
            <w:vAlign w:val="center"/>
          </w:tcPr>
          <w:p>
            <w:pPr>
              <w:pStyle w:val="Normal"/>
              <w:jc w:val="center"/>
              <w:rPr>
                <w:color w:val="000000"/>
              </w:rPr>
            </w:pPr>
            <w:r>
              <w:rPr>
                <w:color w:val="000000"/>
              </w:rPr>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14.04.2017</w:t>
            </w:r>
          </w:p>
        </w:tc>
        <w:tc>
          <w:tcPr>
            <w:tcW w:w="1415"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1458,8</w:t>
            </w:r>
          </w:p>
        </w:tc>
        <w:tc>
          <w:tcPr>
            <w:tcW w:w="1560"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1458,8</w:t>
            </w:r>
          </w:p>
        </w:tc>
        <w:tc>
          <w:tcPr>
            <w:tcW w:w="1563" w:type="dxa"/>
            <w:tcBorders>
              <w:top w:val="single" w:sz="4" w:space="0" w:color="000000"/>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5</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Коростелев И.О.</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06.04.2017г.</w:t>
            </w:r>
          </w:p>
        </w:tc>
        <w:tc>
          <w:tcPr>
            <w:tcW w:w="851" w:type="dxa"/>
            <w:vMerge w:val="continue"/>
            <w:tcBorders>
              <w:right w:val="single" w:sz="4" w:space="0" w:color="000000"/>
            </w:tcBorders>
            <w:shd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14.04.2017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2356,97</w:t>
            </w:r>
          </w:p>
        </w:tc>
        <w:tc>
          <w:tcPr>
            <w:tcW w:w="156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2356,97</w:t>
            </w:r>
          </w:p>
        </w:tc>
        <w:tc>
          <w:tcPr>
            <w:tcW w:w="1563" w:type="dxa"/>
            <w:tcBorders>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6</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Федотов С.А.</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06.04.2017г.</w:t>
            </w:r>
          </w:p>
        </w:tc>
        <w:tc>
          <w:tcPr>
            <w:tcW w:w="851" w:type="dxa"/>
            <w:vMerge w:val="continue"/>
            <w:tcBorders>
              <w:right w:val="single" w:sz="4" w:space="0" w:color="000000"/>
            </w:tcBorders>
            <w:shd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14.04.2017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4420,81</w:t>
            </w:r>
          </w:p>
        </w:tc>
        <w:tc>
          <w:tcPr>
            <w:tcW w:w="156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4402,81</w:t>
            </w:r>
          </w:p>
        </w:tc>
        <w:tc>
          <w:tcPr>
            <w:tcW w:w="1563" w:type="dxa"/>
            <w:tcBorders>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7</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Казакевич В.И.</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06.04.2017г.</w:t>
            </w:r>
          </w:p>
        </w:tc>
        <w:tc>
          <w:tcPr>
            <w:tcW w:w="851" w:type="dxa"/>
            <w:vMerge w:val="continue"/>
            <w:tcBorders>
              <w:right w:val="single" w:sz="4" w:space="0" w:color="000000"/>
            </w:tcBorders>
            <w:shd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19.04.2017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520376,08</w:t>
            </w:r>
          </w:p>
        </w:tc>
        <w:tc>
          <w:tcPr>
            <w:tcW w:w="156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520376</w:t>
            </w:r>
          </w:p>
        </w:tc>
        <w:tc>
          <w:tcPr>
            <w:tcW w:w="1563" w:type="dxa"/>
            <w:tcBorders>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8</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Ткачук О.В.</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06.04.2017г.</w:t>
            </w:r>
          </w:p>
        </w:tc>
        <w:tc>
          <w:tcPr>
            <w:tcW w:w="851" w:type="dxa"/>
            <w:vMerge w:val="continue"/>
            <w:tcBorders>
              <w:right w:val="single" w:sz="4" w:space="0" w:color="000000"/>
            </w:tcBorders>
            <w:shd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19.04.2017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4857,08</w:t>
            </w:r>
          </w:p>
        </w:tc>
        <w:tc>
          <w:tcPr>
            <w:tcW w:w="156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4857,08</w:t>
            </w:r>
          </w:p>
        </w:tc>
        <w:tc>
          <w:tcPr>
            <w:tcW w:w="1563" w:type="dxa"/>
            <w:tcBorders>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9</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Десятов Б.В.</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06.04.2017г.</w:t>
            </w:r>
          </w:p>
        </w:tc>
        <w:tc>
          <w:tcPr>
            <w:tcW w:w="851" w:type="dxa"/>
            <w:vMerge w:val="continue"/>
            <w:tcBorders>
              <w:right w:val="single" w:sz="4" w:space="0" w:color="000000"/>
            </w:tcBorders>
            <w:shd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19.04.2017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8242,01</w:t>
            </w:r>
          </w:p>
        </w:tc>
        <w:tc>
          <w:tcPr>
            <w:tcW w:w="156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8242,01</w:t>
            </w:r>
          </w:p>
        </w:tc>
        <w:tc>
          <w:tcPr>
            <w:tcW w:w="1563" w:type="dxa"/>
            <w:tcBorders>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10</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Коростелев И.О.</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06.04.2017г.</w:t>
            </w:r>
          </w:p>
        </w:tc>
        <w:tc>
          <w:tcPr>
            <w:tcW w:w="851" w:type="dxa"/>
            <w:vMerge w:val="continue"/>
            <w:tcBorders>
              <w:right w:val="single" w:sz="4" w:space="0" w:color="000000"/>
            </w:tcBorders>
            <w:shd w:color="auto"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14984,62</w:t>
            </w:r>
          </w:p>
        </w:tc>
        <w:tc>
          <w:tcPr>
            <w:tcW w:w="156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14984,6</w:t>
            </w:r>
          </w:p>
        </w:tc>
        <w:tc>
          <w:tcPr>
            <w:tcW w:w="1563" w:type="dxa"/>
            <w:tcBorders>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Отказ от подписания договора аренды. Информация направлена в УАИ для проведения новых торгов.</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11</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Коростелев И.О.</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06.04.2017г.</w:t>
            </w:r>
          </w:p>
        </w:tc>
        <w:tc>
          <w:tcPr>
            <w:tcW w:w="851" w:type="dxa"/>
            <w:vMerge w:val="continue"/>
            <w:tcBorders>
              <w:right w:val="single" w:sz="4" w:space="0" w:color="000000"/>
            </w:tcBorders>
            <w:shd w:color="auto"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14.04.2017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10742,65</w:t>
            </w:r>
          </w:p>
        </w:tc>
        <w:tc>
          <w:tcPr>
            <w:tcW w:w="156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10742,7</w:t>
            </w:r>
          </w:p>
        </w:tc>
        <w:tc>
          <w:tcPr>
            <w:tcW w:w="1563" w:type="dxa"/>
            <w:tcBorders>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12</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Чжао Чжицюнь</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06.04.2017г.</w:t>
            </w:r>
          </w:p>
        </w:tc>
        <w:tc>
          <w:tcPr>
            <w:tcW w:w="851" w:type="dxa"/>
            <w:vMerge w:val="continue"/>
            <w:tcBorders>
              <w:right w:val="single" w:sz="4" w:space="0" w:color="000000"/>
            </w:tcBorders>
            <w:shd w:color="auto"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19.04.2017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564688,41</w:t>
            </w:r>
          </w:p>
        </w:tc>
        <w:tc>
          <w:tcPr>
            <w:tcW w:w="156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581629</w:t>
            </w:r>
          </w:p>
        </w:tc>
        <w:tc>
          <w:tcPr>
            <w:tcW w:w="1563" w:type="dxa"/>
            <w:tcBorders>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13</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Зенина М.А.</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06.04.2017г.</w:t>
            </w:r>
          </w:p>
        </w:tc>
        <w:tc>
          <w:tcPr>
            <w:tcW w:w="851" w:type="dxa"/>
            <w:vMerge w:val="continue"/>
            <w:tcBorders>
              <w:right w:val="single" w:sz="4" w:space="0" w:color="000000"/>
            </w:tcBorders>
            <w:shd w:color="auto"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73378,97</w:t>
            </w:r>
          </w:p>
        </w:tc>
        <w:tc>
          <w:tcPr>
            <w:tcW w:w="156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1612137</w:t>
            </w:r>
          </w:p>
        </w:tc>
        <w:tc>
          <w:tcPr>
            <w:tcW w:w="1563" w:type="dxa"/>
            <w:tcBorders>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Отказ от подписания договора аренды. Информация направлена в УАИ для проведения новых торгов.</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14</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Налобин И.А.</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06.04.2017г.</w:t>
            </w:r>
          </w:p>
        </w:tc>
        <w:tc>
          <w:tcPr>
            <w:tcW w:w="851" w:type="dxa"/>
            <w:vMerge w:val="continue"/>
            <w:tcBorders>
              <w:right w:val="single" w:sz="4" w:space="0" w:color="000000"/>
            </w:tcBorders>
            <w:shd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14.04.2017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1956,82</w:t>
            </w:r>
          </w:p>
        </w:tc>
        <w:tc>
          <w:tcPr>
            <w:tcW w:w="156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1956,82</w:t>
            </w:r>
          </w:p>
        </w:tc>
        <w:tc>
          <w:tcPr>
            <w:tcW w:w="1563" w:type="dxa"/>
            <w:tcBorders>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15</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Мальчиков В.В.</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06.04.2017г.</w:t>
            </w:r>
          </w:p>
        </w:tc>
        <w:tc>
          <w:tcPr>
            <w:tcW w:w="851" w:type="dxa"/>
            <w:vMerge w:val="continue"/>
            <w:tcBorders>
              <w:bottom w:val="single" w:sz="4" w:space="0" w:color="000000"/>
              <w:right w:val="single" w:sz="4" w:space="0" w:color="000000"/>
            </w:tcBorders>
            <w:shd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19.04.2017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42325,36</w:t>
            </w:r>
          </w:p>
        </w:tc>
        <w:tc>
          <w:tcPr>
            <w:tcW w:w="1560" w:type="dxa"/>
            <w:tcBorders>
              <w:bottom w:val="single" w:sz="4" w:space="0" w:color="000000"/>
            </w:tcBorders>
            <w:shd w:color="auto" w:fill="auto" w:val="clear"/>
            <w:vAlign w:val="center"/>
          </w:tcPr>
          <w:p>
            <w:pPr>
              <w:pStyle w:val="Normal"/>
              <w:jc w:val="center"/>
              <w:rPr>
                <w:color w:val="000000"/>
              </w:rPr>
            </w:pPr>
            <w:r>
              <w:rPr>
                <w:color w:val="000000"/>
              </w:rPr>
              <w:t>43595,1</w:t>
            </w:r>
          </w:p>
        </w:tc>
        <w:tc>
          <w:tcPr>
            <w:tcW w:w="1563" w:type="dxa"/>
            <w:tcBorders>
              <w:left w:val="single" w:sz="4" w:space="0" w:color="000000"/>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16</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Каврус П.А.</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25.05.2017г.</w:t>
            </w:r>
          </w:p>
        </w:tc>
        <w:tc>
          <w:tcPr>
            <w:tcW w:w="851" w:type="dxa"/>
            <w:vMerge w:val="restart"/>
            <w:tcBorders>
              <w:top w:val="single" w:sz="4" w:space="0" w:color="000000"/>
              <w:right w:val="single" w:sz="4" w:space="0" w:color="000000"/>
            </w:tcBorders>
            <w:shd w:fill="auto" w:val="clear"/>
            <w:textDirection w:val="btLr"/>
            <w:vAlign w:val="center"/>
          </w:tcPr>
          <w:p>
            <w:pPr>
              <w:pStyle w:val="Normal"/>
              <w:jc w:val="center"/>
              <w:rPr>
                <w:color w:val="000000"/>
              </w:rPr>
            </w:pPr>
            <w:r>
              <w:rPr>
                <w:color w:val="000000"/>
              </w:rPr>
              <w:t>05.06.2017</w:t>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08.06.2017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4 693,93</w:t>
            </w:r>
          </w:p>
        </w:tc>
        <w:tc>
          <w:tcPr>
            <w:tcW w:w="1560" w:type="dxa"/>
            <w:tcBorders>
              <w:bottom w:val="single" w:sz="4" w:space="0" w:color="000000"/>
            </w:tcBorders>
            <w:shd w:color="auto" w:fill="auto" w:val="clear"/>
            <w:vAlign w:val="center"/>
          </w:tcPr>
          <w:p>
            <w:pPr>
              <w:pStyle w:val="Normal"/>
              <w:jc w:val="center"/>
              <w:rPr>
                <w:color w:val="000000"/>
              </w:rPr>
            </w:pPr>
            <w:r>
              <w:rPr>
                <w:color w:val="000000"/>
              </w:rPr>
              <w:t>4834,75</w:t>
            </w:r>
          </w:p>
        </w:tc>
        <w:tc>
          <w:tcPr>
            <w:tcW w:w="1563" w:type="dxa"/>
            <w:tcBorders>
              <w:left w:val="single" w:sz="4" w:space="0" w:color="000000"/>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17</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Кориков А.А.</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25.05.2017г.</w:t>
            </w:r>
          </w:p>
        </w:tc>
        <w:tc>
          <w:tcPr>
            <w:tcW w:w="851" w:type="dxa"/>
            <w:vMerge w:val="continue"/>
            <w:tcBorders>
              <w:right w:val="single" w:sz="4" w:space="0" w:color="000000"/>
            </w:tcBorders>
            <w:shd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08.06.2017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4 581,06</w:t>
            </w:r>
          </w:p>
        </w:tc>
        <w:tc>
          <w:tcPr>
            <w:tcW w:w="1560" w:type="dxa"/>
            <w:tcBorders>
              <w:bottom w:val="single" w:sz="4" w:space="0" w:color="000000"/>
            </w:tcBorders>
            <w:shd w:color="auto" w:fill="auto" w:val="clear"/>
            <w:vAlign w:val="center"/>
          </w:tcPr>
          <w:p>
            <w:pPr>
              <w:pStyle w:val="Normal"/>
              <w:jc w:val="center"/>
              <w:rPr>
                <w:color w:val="000000"/>
              </w:rPr>
            </w:pPr>
            <w:r>
              <w:rPr>
                <w:color w:val="000000"/>
              </w:rPr>
              <w:t>4718,49</w:t>
            </w:r>
          </w:p>
        </w:tc>
        <w:tc>
          <w:tcPr>
            <w:tcW w:w="1563" w:type="dxa"/>
            <w:tcBorders>
              <w:left w:val="single" w:sz="4" w:space="0" w:color="000000"/>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18</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Моисеев И.П.</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25.05.2017г.</w:t>
            </w:r>
          </w:p>
        </w:tc>
        <w:tc>
          <w:tcPr>
            <w:tcW w:w="851" w:type="dxa"/>
            <w:vMerge w:val="continue"/>
            <w:tcBorders>
              <w:right w:val="single" w:sz="4" w:space="0" w:color="000000"/>
            </w:tcBorders>
            <w:shd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08.06.2017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5 762,70</w:t>
            </w:r>
          </w:p>
        </w:tc>
        <w:tc>
          <w:tcPr>
            <w:tcW w:w="1560" w:type="dxa"/>
            <w:tcBorders>
              <w:bottom w:val="single" w:sz="4" w:space="0" w:color="000000"/>
            </w:tcBorders>
            <w:shd w:color="auto" w:fill="auto" w:val="clear"/>
            <w:vAlign w:val="center"/>
          </w:tcPr>
          <w:p>
            <w:pPr>
              <w:pStyle w:val="Normal"/>
              <w:jc w:val="center"/>
              <w:rPr>
                <w:color w:val="000000"/>
              </w:rPr>
            </w:pPr>
            <w:r>
              <w:rPr>
                <w:color w:val="000000"/>
              </w:rPr>
              <w:t>74741,8</w:t>
            </w:r>
          </w:p>
        </w:tc>
        <w:tc>
          <w:tcPr>
            <w:tcW w:w="1563" w:type="dxa"/>
            <w:tcBorders>
              <w:left w:val="single" w:sz="4" w:space="0" w:color="000000"/>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19</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Ольшевский Е.А.</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25.05.2017г.</w:t>
            </w:r>
          </w:p>
        </w:tc>
        <w:tc>
          <w:tcPr>
            <w:tcW w:w="851" w:type="dxa"/>
            <w:vMerge w:val="continue"/>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16 220,23</w:t>
            </w:r>
          </w:p>
        </w:tc>
        <w:tc>
          <w:tcPr>
            <w:tcW w:w="1560" w:type="dxa"/>
            <w:tcBorders>
              <w:bottom w:val="single" w:sz="4" w:space="0" w:color="000000"/>
            </w:tcBorders>
            <w:shd w:color="auto" w:fill="auto" w:val="clear"/>
            <w:vAlign w:val="center"/>
          </w:tcPr>
          <w:p>
            <w:pPr>
              <w:pStyle w:val="Normal"/>
              <w:jc w:val="center"/>
              <w:rPr>
                <w:color w:val="000000"/>
              </w:rPr>
            </w:pPr>
            <w:r>
              <w:rPr>
                <w:color w:val="000000"/>
              </w:rPr>
              <w:t>259039</w:t>
            </w:r>
          </w:p>
        </w:tc>
        <w:tc>
          <w:tcPr>
            <w:tcW w:w="1563" w:type="dxa"/>
            <w:tcBorders>
              <w:left w:val="single" w:sz="4" w:space="0" w:color="000000"/>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Отказ от подписания договора аренды. Информация направлена в УАИ для проведения новых торгов.</w:t>
            </w:r>
          </w:p>
        </w:tc>
      </w:tr>
      <w:tr>
        <w:trPr>
          <w:trHeight w:val="300" w:hRule="atLeast"/>
        </w:trPr>
        <w:tc>
          <w:tcPr>
            <w:tcW w:w="5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20</w:t>
            </w:r>
          </w:p>
        </w:tc>
        <w:tc>
          <w:tcPr>
            <w:tcW w:w="2126"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Хмелева А.И.</w:t>
            </w:r>
          </w:p>
        </w:tc>
        <w:tc>
          <w:tcPr>
            <w:tcW w:w="1416"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25.05.2017г.</w:t>
            </w:r>
          </w:p>
        </w:tc>
        <w:tc>
          <w:tcPr>
            <w:tcW w:w="851" w:type="dxa"/>
            <w:vMerge w:val="continue"/>
            <w:tcBorders>
              <w:top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08.06.2017</w:t>
            </w:r>
          </w:p>
        </w:tc>
        <w:tc>
          <w:tcPr>
            <w:tcW w:w="1415"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76 176,48</w:t>
            </w:r>
          </w:p>
        </w:tc>
        <w:tc>
          <w:tcPr>
            <w:tcW w:w="1560" w:type="dxa"/>
            <w:tcBorders>
              <w:top w:val="single" w:sz="4" w:space="0" w:color="000000"/>
              <w:bottom w:val="single" w:sz="4" w:space="0" w:color="000000"/>
            </w:tcBorders>
            <w:shd w:color="auto" w:fill="auto" w:val="clear"/>
            <w:vAlign w:val="center"/>
          </w:tcPr>
          <w:p>
            <w:pPr>
              <w:pStyle w:val="Normal"/>
              <w:jc w:val="center"/>
              <w:rPr>
                <w:color w:val="000000"/>
              </w:rPr>
            </w:pPr>
            <w:r>
              <w:rPr>
                <w:color w:val="000000"/>
              </w:rPr>
              <w:t>78461,8</w:t>
            </w:r>
          </w:p>
        </w:tc>
        <w:tc>
          <w:tcPr>
            <w:tcW w:w="15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21</w:t>
            </w:r>
          </w:p>
        </w:tc>
        <w:tc>
          <w:tcPr>
            <w:tcW w:w="2126"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Писаренок В.В.</w:t>
            </w:r>
          </w:p>
        </w:tc>
        <w:tc>
          <w:tcPr>
            <w:tcW w:w="1416"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25.05.2017г.</w:t>
            </w:r>
          </w:p>
        </w:tc>
        <w:tc>
          <w:tcPr>
            <w:tcW w:w="851" w:type="dxa"/>
            <w:vMerge w:val="continue"/>
            <w:tcBorders>
              <w:top w:val="single" w:sz="4" w:space="0" w:color="000000"/>
              <w:right w:val="single" w:sz="4" w:space="0" w:color="000000"/>
            </w:tcBorders>
            <w:shd w:fill="auto" w:val="clear"/>
            <w:vAlign w:val="center"/>
          </w:tcPr>
          <w:p>
            <w:pPr>
              <w:pStyle w:val="Normal"/>
              <w:jc w:val="center"/>
              <w:rPr>
                <w:color w:val="000000"/>
              </w:rPr>
            </w:pPr>
            <w:r>
              <w:rPr>
                <w:color w:val="000000"/>
              </w:rPr>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08.06.2017</w:t>
            </w:r>
          </w:p>
        </w:tc>
        <w:tc>
          <w:tcPr>
            <w:tcW w:w="1415"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76 176,48</w:t>
            </w:r>
          </w:p>
        </w:tc>
        <w:tc>
          <w:tcPr>
            <w:tcW w:w="1560" w:type="dxa"/>
            <w:tcBorders>
              <w:top w:val="single" w:sz="4" w:space="0" w:color="000000"/>
              <w:bottom w:val="single" w:sz="4" w:space="0" w:color="000000"/>
            </w:tcBorders>
            <w:shd w:color="auto" w:fill="auto" w:val="clear"/>
            <w:vAlign w:val="center"/>
          </w:tcPr>
          <w:p>
            <w:pPr>
              <w:pStyle w:val="Normal"/>
              <w:jc w:val="center"/>
              <w:rPr>
                <w:color w:val="000000"/>
              </w:rPr>
            </w:pPr>
            <w:r>
              <w:rPr>
                <w:color w:val="000000"/>
              </w:rPr>
              <w:t>78461,8</w:t>
            </w:r>
          </w:p>
        </w:tc>
        <w:tc>
          <w:tcPr>
            <w:tcW w:w="15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22</w:t>
            </w:r>
          </w:p>
        </w:tc>
        <w:tc>
          <w:tcPr>
            <w:tcW w:w="2126" w:type="dxa"/>
            <w:tcBorders>
              <w:right w:val="single" w:sz="4" w:space="0" w:color="000000"/>
            </w:tcBorders>
            <w:shd w:color="auto" w:fill="auto" w:val="clear"/>
            <w:vAlign w:val="center"/>
          </w:tcPr>
          <w:p>
            <w:pPr>
              <w:pStyle w:val="Normal"/>
              <w:jc w:val="center"/>
              <w:rPr>
                <w:color w:val="000000"/>
              </w:rPr>
            </w:pPr>
            <w:r>
              <w:rPr>
                <w:color w:val="000000"/>
              </w:rPr>
              <w:t>Резнер О.В.</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25.05.2017г.</w:t>
            </w:r>
          </w:p>
        </w:tc>
        <w:tc>
          <w:tcPr>
            <w:tcW w:w="851" w:type="dxa"/>
            <w:vMerge w:val="continue"/>
            <w:tcBorders>
              <w:right w:val="single" w:sz="4" w:space="0" w:color="000000"/>
            </w:tcBorders>
            <w:shd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08.06.2017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259 237,50</w:t>
            </w:r>
          </w:p>
        </w:tc>
        <w:tc>
          <w:tcPr>
            <w:tcW w:w="1560" w:type="dxa"/>
            <w:tcBorders/>
            <w:shd w:color="auto" w:fill="auto" w:val="clear"/>
            <w:vAlign w:val="center"/>
          </w:tcPr>
          <w:p>
            <w:pPr>
              <w:pStyle w:val="Normal"/>
              <w:jc w:val="center"/>
              <w:rPr>
                <w:color w:val="000000"/>
              </w:rPr>
            </w:pPr>
            <w:r>
              <w:rPr>
                <w:color w:val="000000"/>
              </w:rPr>
              <w:t>267015</w:t>
            </w:r>
          </w:p>
        </w:tc>
        <w:tc>
          <w:tcPr>
            <w:tcW w:w="1563" w:type="dxa"/>
            <w:tcBorders>
              <w:left w:val="single" w:sz="4" w:space="0" w:color="000000"/>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23</w:t>
            </w:r>
          </w:p>
        </w:tc>
        <w:tc>
          <w:tcPr>
            <w:tcW w:w="2126"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Ольшевский Е.А.</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25.05.2017г.</w:t>
            </w:r>
          </w:p>
        </w:tc>
        <w:tc>
          <w:tcPr>
            <w:tcW w:w="851" w:type="dxa"/>
            <w:vMerge w:val="continue"/>
            <w:tcBorders>
              <w:right w:val="single" w:sz="4" w:space="0" w:color="000000"/>
            </w:tcBorders>
            <w:shd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08.06.2017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41 270,51</w:t>
            </w:r>
          </w:p>
        </w:tc>
        <w:tc>
          <w:tcPr>
            <w:tcW w:w="1560" w:type="dxa"/>
            <w:tcBorders>
              <w:top w:val="single" w:sz="4" w:space="0" w:color="000000"/>
            </w:tcBorders>
            <w:shd w:color="auto" w:fill="auto" w:val="clear"/>
            <w:vAlign w:val="center"/>
          </w:tcPr>
          <w:p>
            <w:pPr>
              <w:pStyle w:val="Normal"/>
              <w:jc w:val="center"/>
              <w:rPr>
                <w:color w:val="000000"/>
              </w:rPr>
            </w:pPr>
            <w:r>
              <w:rPr>
                <w:color w:val="000000"/>
              </w:rPr>
              <w:t>42508,6</w:t>
            </w:r>
          </w:p>
        </w:tc>
        <w:tc>
          <w:tcPr>
            <w:tcW w:w="1563" w:type="dxa"/>
            <w:tcBorders>
              <w:left w:val="single" w:sz="4" w:space="0" w:color="000000"/>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24</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Моисеев И.П.</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25.05.2017г.</w:t>
            </w:r>
          </w:p>
        </w:tc>
        <w:tc>
          <w:tcPr>
            <w:tcW w:w="851" w:type="dxa"/>
            <w:vMerge w:val="continue"/>
            <w:tcBorders>
              <w:right w:val="single" w:sz="4" w:space="0" w:color="000000"/>
            </w:tcBorders>
            <w:shd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08.06.2017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10 725,00</w:t>
            </w:r>
          </w:p>
        </w:tc>
        <w:tc>
          <w:tcPr>
            <w:tcW w:w="1560" w:type="dxa"/>
            <w:tcBorders>
              <w:top w:val="single" w:sz="4" w:space="0" w:color="000000"/>
              <w:bottom w:val="single" w:sz="4" w:space="0" w:color="000000"/>
            </w:tcBorders>
            <w:shd w:color="auto" w:fill="auto" w:val="clear"/>
            <w:vAlign w:val="center"/>
          </w:tcPr>
          <w:p>
            <w:pPr>
              <w:pStyle w:val="Normal"/>
              <w:jc w:val="center"/>
              <w:rPr>
                <w:color w:val="000000"/>
              </w:rPr>
            </w:pPr>
            <w:r>
              <w:rPr>
                <w:color w:val="000000"/>
              </w:rPr>
              <w:t>97275,8</w:t>
            </w:r>
          </w:p>
        </w:tc>
        <w:tc>
          <w:tcPr>
            <w:tcW w:w="1563" w:type="dxa"/>
            <w:tcBorders>
              <w:left w:val="single" w:sz="4" w:space="0" w:color="000000"/>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25</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Моисеев И.П.</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25.05.2017г.</w:t>
            </w:r>
          </w:p>
        </w:tc>
        <w:tc>
          <w:tcPr>
            <w:tcW w:w="851" w:type="dxa"/>
            <w:vMerge w:val="continue"/>
            <w:tcBorders>
              <w:right w:val="single" w:sz="4" w:space="0" w:color="000000"/>
            </w:tcBorders>
            <w:shd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08.06.2017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7 215,00</w:t>
            </w:r>
          </w:p>
        </w:tc>
        <w:tc>
          <w:tcPr>
            <w:tcW w:w="1560" w:type="dxa"/>
            <w:tcBorders>
              <w:bottom w:val="single" w:sz="4" w:space="0" w:color="000000"/>
            </w:tcBorders>
            <w:shd w:color="auto" w:fill="auto" w:val="clear"/>
            <w:vAlign w:val="center"/>
          </w:tcPr>
          <w:p>
            <w:pPr>
              <w:pStyle w:val="Normal"/>
              <w:jc w:val="center"/>
              <w:rPr>
                <w:color w:val="000000"/>
              </w:rPr>
            </w:pPr>
            <w:r>
              <w:rPr>
                <w:color w:val="000000"/>
              </w:rPr>
              <w:t>93578,6</w:t>
            </w:r>
          </w:p>
        </w:tc>
        <w:tc>
          <w:tcPr>
            <w:tcW w:w="1563" w:type="dxa"/>
            <w:tcBorders>
              <w:left w:val="single" w:sz="4" w:space="0" w:color="000000"/>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26</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Жаркова О.А.</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25.05.2017г.</w:t>
            </w:r>
          </w:p>
        </w:tc>
        <w:tc>
          <w:tcPr>
            <w:tcW w:w="851" w:type="dxa"/>
            <w:vMerge w:val="continue"/>
            <w:tcBorders>
              <w:bottom w:val="single" w:sz="4" w:space="0" w:color="000000"/>
              <w:right w:val="single" w:sz="4" w:space="0" w:color="000000"/>
            </w:tcBorders>
            <w:shd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08.06.2017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8 775,00</w:t>
            </w:r>
          </w:p>
        </w:tc>
        <w:tc>
          <w:tcPr>
            <w:tcW w:w="1560" w:type="dxa"/>
            <w:tcBorders>
              <w:bottom w:val="single" w:sz="4" w:space="0" w:color="000000"/>
            </w:tcBorders>
            <w:shd w:color="auto" w:fill="auto" w:val="clear"/>
            <w:vAlign w:val="center"/>
          </w:tcPr>
          <w:p>
            <w:pPr>
              <w:pStyle w:val="Normal"/>
              <w:jc w:val="center"/>
              <w:rPr>
                <w:color w:val="000000"/>
              </w:rPr>
            </w:pPr>
            <w:r>
              <w:rPr>
                <w:color w:val="000000"/>
              </w:rPr>
              <w:t>27202,5</w:t>
            </w:r>
          </w:p>
        </w:tc>
        <w:tc>
          <w:tcPr>
            <w:tcW w:w="1563" w:type="dxa"/>
            <w:tcBorders>
              <w:left w:val="single" w:sz="4" w:space="0" w:color="000000"/>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27</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Сорокин С.В.</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08.06.2017г.</w:t>
            </w:r>
          </w:p>
        </w:tc>
        <w:tc>
          <w:tcPr>
            <w:tcW w:w="851" w:type="dxa"/>
            <w:vMerge w:val="restart"/>
            <w:tcBorders>
              <w:top w:val="single" w:sz="4" w:space="0" w:color="000000"/>
              <w:bottom w:val="single" w:sz="4" w:space="0" w:color="000000"/>
              <w:right w:val="single" w:sz="4" w:space="0" w:color="000000"/>
            </w:tcBorders>
            <w:shd w:color="auto" w:fill="auto" w:val="clear"/>
            <w:textDirection w:val="btLr"/>
            <w:vAlign w:val="center"/>
          </w:tcPr>
          <w:p>
            <w:pPr>
              <w:pStyle w:val="Normal"/>
              <w:jc w:val="center"/>
              <w:rPr>
                <w:color w:val="000000"/>
              </w:rPr>
            </w:pPr>
            <w:r>
              <w:rPr>
                <w:color w:val="000000"/>
              </w:rPr>
              <w:t>19.06.2017</w:t>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66 437,64</w:t>
            </w:r>
          </w:p>
        </w:tc>
        <w:tc>
          <w:tcPr>
            <w:tcW w:w="1560" w:type="dxa"/>
            <w:tcBorders>
              <w:bottom w:val="single" w:sz="4" w:space="0" w:color="000000"/>
            </w:tcBorders>
            <w:shd w:color="auto" w:fill="auto" w:val="clear"/>
            <w:vAlign w:val="center"/>
          </w:tcPr>
          <w:p>
            <w:pPr>
              <w:pStyle w:val="Normal"/>
              <w:jc w:val="center"/>
              <w:rPr>
                <w:color w:val="000000"/>
              </w:rPr>
            </w:pPr>
            <w:r>
              <w:rPr>
                <w:color w:val="000000"/>
              </w:rPr>
              <w:t>662384</w:t>
            </w:r>
          </w:p>
        </w:tc>
        <w:tc>
          <w:tcPr>
            <w:tcW w:w="1563" w:type="dxa"/>
            <w:tcBorders>
              <w:left w:val="single" w:sz="4" w:space="0" w:color="000000"/>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Отказ от подписания договора аренды. Информация направлена в УАИ для проведения новых торгов.</w:t>
            </w:r>
          </w:p>
        </w:tc>
      </w:tr>
      <w:tr>
        <w:trPr>
          <w:trHeight w:val="300" w:hRule="atLeast"/>
        </w:trPr>
        <w:tc>
          <w:tcPr>
            <w:tcW w:w="5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28</w:t>
            </w:r>
          </w:p>
        </w:tc>
        <w:tc>
          <w:tcPr>
            <w:tcW w:w="2126"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Агаджанян А.О.</w:t>
            </w:r>
          </w:p>
        </w:tc>
        <w:tc>
          <w:tcPr>
            <w:tcW w:w="1416"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08.06.2017г.</w:t>
            </w:r>
          </w:p>
        </w:tc>
        <w:tc>
          <w:tcPr>
            <w:tcW w:w="851" w:type="dxa"/>
            <w:vMerge w:val="continue"/>
            <w:tcBorders>
              <w:top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19.06.2017</w:t>
            </w:r>
          </w:p>
        </w:tc>
        <w:tc>
          <w:tcPr>
            <w:tcW w:w="1415"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21 641,07</w:t>
            </w:r>
          </w:p>
        </w:tc>
        <w:tc>
          <w:tcPr>
            <w:tcW w:w="1560"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22290,3</w:t>
            </w:r>
          </w:p>
        </w:tc>
        <w:tc>
          <w:tcPr>
            <w:tcW w:w="1563" w:type="dxa"/>
            <w:tcBorders>
              <w:top w:val="single" w:sz="4" w:space="0" w:color="000000"/>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29</w:t>
            </w:r>
          </w:p>
        </w:tc>
        <w:tc>
          <w:tcPr>
            <w:tcW w:w="2126"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Герасимов О.П.</w:t>
            </w:r>
          </w:p>
        </w:tc>
        <w:tc>
          <w:tcPr>
            <w:tcW w:w="1416"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08.06.2017г.</w:t>
            </w:r>
          </w:p>
        </w:tc>
        <w:tc>
          <w:tcPr>
            <w:tcW w:w="851" w:type="dxa"/>
            <w:vMerge w:val="continue"/>
            <w:tcBorders>
              <w:top w:val="single" w:sz="4" w:space="0" w:color="000000"/>
              <w:right w:val="single" w:sz="4" w:space="0" w:color="000000"/>
            </w:tcBorders>
            <w:shd w:fill="auto" w:val="clear"/>
            <w:vAlign w:val="center"/>
          </w:tcPr>
          <w:p>
            <w:pPr>
              <w:pStyle w:val="Normal"/>
              <w:jc w:val="center"/>
              <w:rPr>
                <w:color w:val="000000"/>
              </w:rPr>
            </w:pPr>
            <w:r>
              <w:rPr>
                <w:color w:val="000000"/>
              </w:rPr>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19.06.2017</w:t>
            </w:r>
          </w:p>
        </w:tc>
        <w:tc>
          <w:tcPr>
            <w:tcW w:w="1415"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586 723,59</w:t>
            </w:r>
          </w:p>
        </w:tc>
        <w:tc>
          <w:tcPr>
            <w:tcW w:w="1560"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604325</w:t>
            </w:r>
          </w:p>
        </w:tc>
        <w:tc>
          <w:tcPr>
            <w:tcW w:w="1563" w:type="dxa"/>
            <w:tcBorders>
              <w:top w:val="single" w:sz="4" w:space="0" w:color="000000"/>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30</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Пименов Б.А.</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08.06.2017г.</w:t>
            </w:r>
          </w:p>
        </w:tc>
        <w:tc>
          <w:tcPr>
            <w:tcW w:w="851" w:type="dxa"/>
            <w:vMerge w:val="continue"/>
            <w:tcBorders>
              <w:right w:val="single" w:sz="4" w:space="0" w:color="000000"/>
            </w:tcBorders>
            <w:shd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19.06.2017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54 669,74</w:t>
            </w:r>
          </w:p>
        </w:tc>
        <w:tc>
          <w:tcPr>
            <w:tcW w:w="156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57949,9</w:t>
            </w:r>
          </w:p>
        </w:tc>
        <w:tc>
          <w:tcPr>
            <w:tcW w:w="1563" w:type="dxa"/>
            <w:tcBorders>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31</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Гельм А.А.</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08.06.2017г.</w:t>
            </w:r>
          </w:p>
        </w:tc>
        <w:tc>
          <w:tcPr>
            <w:tcW w:w="851" w:type="dxa"/>
            <w:vMerge w:val="continue"/>
            <w:tcBorders>
              <w:right w:val="single" w:sz="4" w:space="0" w:color="000000"/>
            </w:tcBorders>
            <w:shd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19.06.2017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64 085,35</w:t>
            </w:r>
          </w:p>
        </w:tc>
        <w:tc>
          <w:tcPr>
            <w:tcW w:w="156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64085,4</w:t>
            </w:r>
          </w:p>
        </w:tc>
        <w:tc>
          <w:tcPr>
            <w:tcW w:w="1563" w:type="dxa"/>
            <w:tcBorders>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32</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Филиппова Ю.Ф.</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08.06.2017г.</w:t>
            </w:r>
          </w:p>
        </w:tc>
        <w:tc>
          <w:tcPr>
            <w:tcW w:w="851" w:type="dxa"/>
            <w:vMerge w:val="continue"/>
            <w:tcBorders>
              <w:right w:val="single" w:sz="4" w:space="0" w:color="000000"/>
            </w:tcBorders>
            <w:shd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19.06.2017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35 118,13</w:t>
            </w:r>
          </w:p>
        </w:tc>
        <w:tc>
          <w:tcPr>
            <w:tcW w:w="156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35118,1</w:t>
            </w:r>
          </w:p>
        </w:tc>
        <w:tc>
          <w:tcPr>
            <w:tcW w:w="1563" w:type="dxa"/>
            <w:tcBorders>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33</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Филиппов А.В.</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08.06.2017г.</w:t>
            </w:r>
          </w:p>
        </w:tc>
        <w:tc>
          <w:tcPr>
            <w:tcW w:w="851" w:type="dxa"/>
            <w:vMerge w:val="continue"/>
            <w:tcBorders>
              <w:right w:val="single" w:sz="4" w:space="0" w:color="000000"/>
            </w:tcBorders>
            <w:shd w:color="auto"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540 830,09</w:t>
            </w:r>
          </w:p>
        </w:tc>
        <w:tc>
          <w:tcPr>
            <w:tcW w:w="156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2098420</w:t>
            </w:r>
          </w:p>
        </w:tc>
        <w:tc>
          <w:tcPr>
            <w:tcW w:w="1563" w:type="dxa"/>
            <w:tcBorders>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Обратились в суд. Договор заключен.</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34</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Ши-Кэ-Мин А.В.</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08.06.2017г.</w:t>
            </w:r>
          </w:p>
        </w:tc>
        <w:tc>
          <w:tcPr>
            <w:tcW w:w="851" w:type="dxa"/>
            <w:vMerge w:val="continue"/>
            <w:tcBorders>
              <w:bottom w:val="single" w:sz="4" w:space="0" w:color="000000"/>
              <w:right w:val="single" w:sz="4" w:space="0" w:color="000000"/>
            </w:tcBorders>
            <w:shd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19.06.2017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59 888,99</w:t>
            </w:r>
          </w:p>
        </w:tc>
        <w:tc>
          <w:tcPr>
            <w:tcW w:w="156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59889</w:t>
            </w:r>
          </w:p>
        </w:tc>
        <w:tc>
          <w:tcPr>
            <w:tcW w:w="1563" w:type="dxa"/>
            <w:tcBorders>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810" w:hRule="atLeast"/>
        </w:trPr>
        <w:tc>
          <w:tcPr>
            <w:tcW w:w="5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35</w:t>
            </w:r>
          </w:p>
        </w:tc>
        <w:tc>
          <w:tcPr>
            <w:tcW w:w="21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ООО "Гарант" в лице директора Почаева Б.А.</w:t>
            </w:r>
          </w:p>
        </w:tc>
        <w:tc>
          <w:tcPr>
            <w:tcW w:w="14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27.07.2018г.</w:t>
            </w:r>
          </w:p>
        </w:tc>
        <w:tc>
          <w:tcPr>
            <w:tcW w:w="851" w:type="dxa"/>
            <w:vMerge w:val="restart"/>
            <w:tcBorders>
              <w:top w:val="single" w:sz="4" w:space="0" w:color="000000"/>
              <w:left w:val="single" w:sz="4" w:space="0" w:color="000000"/>
              <w:right w:val="single" w:sz="4" w:space="0" w:color="000000"/>
            </w:tcBorders>
            <w:shd w:fill="auto" w:val="clear"/>
            <w:textDirection w:val="btLr"/>
            <w:vAlign w:val="center"/>
          </w:tcPr>
          <w:p>
            <w:pPr>
              <w:pStyle w:val="Normal"/>
              <w:jc w:val="center"/>
              <w:rPr>
                <w:color w:val="000000"/>
              </w:rPr>
            </w:pPr>
            <w:r>
              <w:rPr>
                <w:color w:val="000000"/>
              </w:rPr>
              <w:t>07.08.2017</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07.08.2017</w:t>
            </w:r>
          </w:p>
        </w:tc>
        <w:tc>
          <w:tcPr>
            <w:tcW w:w="14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208 444,23</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214698</w:t>
            </w:r>
          </w:p>
        </w:tc>
        <w:tc>
          <w:tcPr>
            <w:tcW w:w="15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36</w:t>
            </w:r>
          </w:p>
        </w:tc>
        <w:tc>
          <w:tcPr>
            <w:tcW w:w="2126"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Пильцова Ф.Н.</w:t>
            </w:r>
          </w:p>
        </w:tc>
        <w:tc>
          <w:tcPr>
            <w:tcW w:w="1416"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27.07.2018г.</w:t>
            </w:r>
          </w:p>
        </w:tc>
        <w:tc>
          <w:tcPr>
            <w:tcW w:w="851" w:type="dxa"/>
            <w:vMerge w:val="continue"/>
            <w:tcBorders>
              <w:left w:val="single" w:sz="4" w:space="0" w:color="000000"/>
              <w:right w:val="single" w:sz="4" w:space="0" w:color="000000"/>
            </w:tcBorders>
            <w:shd w:fill="auto" w:val="clear"/>
            <w:vAlign w:val="center"/>
          </w:tcPr>
          <w:p>
            <w:pPr>
              <w:pStyle w:val="Normal"/>
              <w:jc w:val="center"/>
              <w:rPr>
                <w:color w:val="000000"/>
              </w:rPr>
            </w:pPr>
            <w:r>
              <w:rPr>
                <w:color w:val="000000"/>
              </w:rPr>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07.08.2017</w:t>
            </w:r>
          </w:p>
        </w:tc>
        <w:tc>
          <w:tcPr>
            <w:tcW w:w="1415"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94 690,82</w:t>
            </w:r>
          </w:p>
        </w:tc>
        <w:tc>
          <w:tcPr>
            <w:tcW w:w="1560"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97531,5</w:t>
            </w:r>
          </w:p>
        </w:tc>
        <w:tc>
          <w:tcPr>
            <w:tcW w:w="1563" w:type="dxa"/>
            <w:tcBorders>
              <w:top w:val="single" w:sz="4" w:space="0" w:color="000000"/>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105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37</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ООО ТЖК "КанскУглеЛесТранс" в лице директора Слонкина П.В.</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27.07.2018г.</w:t>
            </w:r>
          </w:p>
        </w:tc>
        <w:tc>
          <w:tcPr>
            <w:tcW w:w="851" w:type="dxa"/>
            <w:vMerge w:val="continue"/>
            <w:tcBorders>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07.08.2017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275 551,08</w:t>
            </w:r>
          </w:p>
        </w:tc>
        <w:tc>
          <w:tcPr>
            <w:tcW w:w="156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1507264</w:t>
            </w:r>
          </w:p>
        </w:tc>
        <w:tc>
          <w:tcPr>
            <w:tcW w:w="1563" w:type="dxa"/>
            <w:tcBorders>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38</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Плаксин С.В.</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10.08.2017г.</w:t>
            </w:r>
          </w:p>
        </w:tc>
        <w:tc>
          <w:tcPr>
            <w:tcW w:w="851" w:type="dxa"/>
            <w:vMerge w:val="restart"/>
            <w:tcBorders>
              <w:top w:val="single" w:sz="4" w:space="0" w:color="000000"/>
              <w:right w:val="single" w:sz="4" w:space="0" w:color="000000"/>
            </w:tcBorders>
            <w:shd w:fill="auto" w:val="clear"/>
            <w:textDirection w:val="btLr"/>
            <w:vAlign w:val="center"/>
          </w:tcPr>
          <w:p>
            <w:pPr>
              <w:pStyle w:val="Normal"/>
              <w:jc w:val="center"/>
              <w:rPr>
                <w:color w:val="000000"/>
              </w:rPr>
            </w:pPr>
            <w:r>
              <w:rPr>
                <w:color w:val="000000"/>
              </w:rPr>
              <w:t>21.08.2017</w:t>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21.08.2017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2 145,34</w:t>
            </w:r>
          </w:p>
        </w:tc>
        <w:tc>
          <w:tcPr>
            <w:tcW w:w="156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4204,86</w:t>
            </w:r>
          </w:p>
        </w:tc>
        <w:tc>
          <w:tcPr>
            <w:tcW w:w="1563" w:type="dxa"/>
            <w:tcBorders>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39</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Степашина Е.М.</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10.08.2017г.</w:t>
            </w:r>
          </w:p>
        </w:tc>
        <w:tc>
          <w:tcPr>
            <w:tcW w:w="851" w:type="dxa"/>
            <w:vMerge w:val="continue"/>
            <w:tcBorders>
              <w:bottom w:val="single" w:sz="4" w:space="0" w:color="000000"/>
              <w:right w:val="single" w:sz="4" w:space="0" w:color="000000"/>
            </w:tcBorders>
            <w:shd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21.08.2017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2 236,63</w:t>
            </w:r>
          </w:p>
        </w:tc>
        <w:tc>
          <w:tcPr>
            <w:tcW w:w="156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2370,83</w:t>
            </w:r>
          </w:p>
        </w:tc>
        <w:tc>
          <w:tcPr>
            <w:tcW w:w="1563" w:type="dxa"/>
            <w:tcBorders>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40</w:t>
            </w:r>
          </w:p>
        </w:tc>
        <w:tc>
          <w:tcPr>
            <w:tcW w:w="2126"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Шестова Л.В.</w:t>
            </w:r>
          </w:p>
        </w:tc>
        <w:tc>
          <w:tcPr>
            <w:tcW w:w="1416"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10.08.2017г.</w:t>
            </w:r>
          </w:p>
        </w:tc>
        <w:tc>
          <w:tcPr>
            <w:tcW w:w="851" w:type="dxa"/>
            <w:vMerge w:val="continue"/>
            <w:tcBorders>
              <w:top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21.08.2017</w:t>
            </w:r>
          </w:p>
        </w:tc>
        <w:tc>
          <w:tcPr>
            <w:tcW w:w="1415"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13 177,03</w:t>
            </w:r>
          </w:p>
        </w:tc>
        <w:tc>
          <w:tcPr>
            <w:tcW w:w="1560"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13177</w:t>
            </w:r>
          </w:p>
        </w:tc>
        <w:tc>
          <w:tcPr>
            <w:tcW w:w="1563" w:type="dxa"/>
            <w:tcBorders>
              <w:top w:val="single" w:sz="4" w:space="0" w:color="000000"/>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795" w:hRule="atLeast"/>
        </w:trPr>
        <w:tc>
          <w:tcPr>
            <w:tcW w:w="5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41</w:t>
            </w:r>
          </w:p>
        </w:tc>
        <w:tc>
          <w:tcPr>
            <w:tcW w:w="2126"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ООО "Гарант" в лице директора Почаева Б.А.</w:t>
            </w:r>
          </w:p>
        </w:tc>
        <w:tc>
          <w:tcPr>
            <w:tcW w:w="1416"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10.08.2017г.</w:t>
            </w:r>
          </w:p>
        </w:tc>
        <w:tc>
          <w:tcPr>
            <w:tcW w:w="851" w:type="dxa"/>
            <w:vMerge w:val="continue"/>
            <w:tcBorders>
              <w:top w:val="single" w:sz="4" w:space="0" w:color="000000"/>
              <w:right w:val="single" w:sz="4" w:space="0" w:color="000000"/>
            </w:tcBorders>
            <w:shd w:fill="auto" w:val="clear"/>
            <w:vAlign w:val="center"/>
          </w:tcPr>
          <w:p>
            <w:pPr>
              <w:pStyle w:val="Normal"/>
              <w:jc w:val="center"/>
              <w:rPr>
                <w:color w:val="000000"/>
              </w:rPr>
            </w:pPr>
            <w:r>
              <w:rPr>
                <w:color w:val="000000"/>
              </w:rPr>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21.08.2017</w:t>
            </w:r>
          </w:p>
        </w:tc>
        <w:tc>
          <w:tcPr>
            <w:tcW w:w="1415"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90 048,82</w:t>
            </w:r>
          </w:p>
        </w:tc>
        <w:tc>
          <w:tcPr>
            <w:tcW w:w="1560"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92750,3</w:t>
            </w:r>
          </w:p>
        </w:tc>
        <w:tc>
          <w:tcPr>
            <w:tcW w:w="1563" w:type="dxa"/>
            <w:tcBorders>
              <w:top w:val="single" w:sz="4" w:space="0" w:color="000000"/>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42</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Качаева А.Н.</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10.08.2017г.</w:t>
            </w:r>
          </w:p>
        </w:tc>
        <w:tc>
          <w:tcPr>
            <w:tcW w:w="851" w:type="dxa"/>
            <w:vMerge w:val="continue"/>
            <w:tcBorders>
              <w:right w:val="single" w:sz="4" w:space="0" w:color="000000"/>
            </w:tcBorders>
            <w:shd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21.08.2017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6 003,99</w:t>
            </w:r>
          </w:p>
        </w:tc>
        <w:tc>
          <w:tcPr>
            <w:tcW w:w="156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12128,1</w:t>
            </w:r>
          </w:p>
        </w:tc>
        <w:tc>
          <w:tcPr>
            <w:tcW w:w="1563" w:type="dxa"/>
            <w:tcBorders>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43</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Менухова А.Н.</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10.08.2017г.</w:t>
            </w:r>
          </w:p>
        </w:tc>
        <w:tc>
          <w:tcPr>
            <w:tcW w:w="851" w:type="dxa"/>
            <w:vMerge w:val="continue"/>
            <w:tcBorders>
              <w:right w:val="single" w:sz="4" w:space="0" w:color="000000"/>
            </w:tcBorders>
            <w:shd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21.08.2017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5 045 ,22</w:t>
            </w:r>
          </w:p>
        </w:tc>
        <w:tc>
          <w:tcPr>
            <w:tcW w:w="156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10040,1</w:t>
            </w:r>
          </w:p>
        </w:tc>
        <w:tc>
          <w:tcPr>
            <w:tcW w:w="1563" w:type="dxa"/>
            <w:tcBorders>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44</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Якушонок Д.В.</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10.08.2017г.</w:t>
            </w:r>
          </w:p>
        </w:tc>
        <w:tc>
          <w:tcPr>
            <w:tcW w:w="851" w:type="dxa"/>
            <w:vMerge w:val="continue"/>
            <w:tcBorders>
              <w:right w:val="single" w:sz="4" w:space="0" w:color="000000"/>
            </w:tcBorders>
            <w:shd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21.08.2017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6 673,59</w:t>
            </w:r>
          </w:p>
        </w:tc>
        <w:tc>
          <w:tcPr>
            <w:tcW w:w="156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6673,59</w:t>
            </w:r>
          </w:p>
        </w:tc>
        <w:tc>
          <w:tcPr>
            <w:tcW w:w="1563" w:type="dxa"/>
            <w:tcBorders>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45</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Глушков Д.П.</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10.08.2017г.</w:t>
            </w:r>
          </w:p>
        </w:tc>
        <w:tc>
          <w:tcPr>
            <w:tcW w:w="851" w:type="dxa"/>
            <w:vMerge w:val="continue"/>
            <w:tcBorders>
              <w:bottom w:val="single" w:sz="4" w:space="0" w:color="000000"/>
              <w:right w:val="single" w:sz="4" w:space="0" w:color="000000"/>
            </w:tcBorders>
            <w:shd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15.08.2017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6 602,97</w:t>
            </w:r>
          </w:p>
        </w:tc>
        <w:tc>
          <w:tcPr>
            <w:tcW w:w="156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6602,97</w:t>
            </w:r>
          </w:p>
        </w:tc>
        <w:tc>
          <w:tcPr>
            <w:tcW w:w="1563" w:type="dxa"/>
            <w:tcBorders>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46</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Петушков И.М.</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28.09.2017г.</w:t>
            </w:r>
          </w:p>
        </w:tc>
        <w:tc>
          <w:tcPr>
            <w:tcW w:w="851" w:type="dxa"/>
            <w:vMerge w:val="restart"/>
            <w:tcBorders>
              <w:top w:val="single" w:sz="4" w:space="0" w:color="000000"/>
              <w:right w:val="single" w:sz="4" w:space="0" w:color="000000"/>
            </w:tcBorders>
            <w:shd w:fill="auto" w:val="clear"/>
            <w:textDirection w:val="btLr"/>
            <w:vAlign w:val="center"/>
          </w:tcPr>
          <w:p>
            <w:pPr>
              <w:pStyle w:val="Normal"/>
              <w:jc w:val="center"/>
              <w:rPr>
                <w:color w:val="000000"/>
              </w:rPr>
            </w:pPr>
            <w:r>
              <w:rPr>
                <w:color w:val="000000"/>
              </w:rPr>
              <w:t>09.10.2017</w:t>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11.10.2017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1 551,95</w:t>
            </w:r>
          </w:p>
        </w:tc>
        <w:tc>
          <w:tcPr>
            <w:tcW w:w="156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5276,75</w:t>
            </w:r>
          </w:p>
        </w:tc>
        <w:tc>
          <w:tcPr>
            <w:tcW w:w="1563" w:type="dxa"/>
            <w:tcBorders>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47</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Петушков И.М.</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28.09.2017г.</w:t>
            </w:r>
          </w:p>
        </w:tc>
        <w:tc>
          <w:tcPr>
            <w:tcW w:w="851" w:type="dxa"/>
            <w:vMerge w:val="continue"/>
            <w:tcBorders>
              <w:right w:val="single" w:sz="4" w:space="0" w:color="000000"/>
            </w:tcBorders>
            <w:shd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11.10.2017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1 551,95</w:t>
            </w:r>
          </w:p>
        </w:tc>
        <w:tc>
          <w:tcPr>
            <w:tcW w:w="156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2995,31</w:t>
            </w:r>
          </w:p>
        </w:tc>
        <w:tc>
          <w:tcPr>
            <w:tcW w:w="1563" w:type="dxa"/>
            <w:tcBorders>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48</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Артюшок Н.И.</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28.09.2017г.</w:t>
            </w:r>
          </w:p>
        </w:tc>
        <w:tc>
          <w:tcPr>
            <w:tcW w:w="851" w:type="dxa"/>
            <w:vMerge w:val="continue"/>
            <w:tcBorders>
              <w:right w:val="single" w:sz="4" w:space="0" w:color="000000"/>
            </w:tcBorders>
            <w:shd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11.10.2017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1 551,95</w:t>
            </w:r>
          </w:p>
        </w:tc>
        <w:tc>
          <w:tcPr>
            <w:tcW w:w="156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25157,9</w:t>
            </w:r>
          </w:p>
        </w:tc>
        <w:tc>
          <w:tcPr>
            <w:tcW w:w="1563" w:type="dxa"/>
            <w:tcBorders>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49</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Артюшок Н.И.</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28.09.2017г.</w:t>
            </w:r>
          </w:p>
        </w:tc>
        <w:tc>
          <w:tcPr>
            <w:tcW w:w="851" w:type="dxa"/>
            <w:vMerge w:val="continue"/>
            <w:tcBorders>
              <w:right w:val="single" w:sz="4" w:space="0" w:color="000000"/>
            </w:tcBorders>
            <w:shd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11.10.2017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1 551,95</w:t>
            </w:r>
          </w:p>
        </w:tc>
        <w:tc>
          <w:tcPr>
            <w:tcW w:w="156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25251</w:t>
            </w:r>
          </w:p>
        </w:tc>
        <w:tc>
          <w:tcPr>
            <w:tcW w:w="1563" w:type="dxa"/>
            <w:tcBorders>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50</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Бацикадзе С.А.</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28.09.2017г.</w:t>
            </w:r>
          </w:p>
        </w:tc>
        <w:tc>
          <w:tcPr>
            <w:tcW w:w="851" w:type="dxa"/>
            <w:vMerge w:val="continue"/>
            <w:tcBorders>
              <w:bottom w:val="single" w:sz="4" w:space="0" w:color="000000"/>
              <w:right w:val="single" w:sz="4" w:space="0" w:color="000000"/>
            </w:tcBorders>
            <w:shd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11.10.2017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115 678,80</w:t>
            </w:r>
          </w:p>
        </w:tc>
        <w:tc>
          <w:tcPr>
            <w:tcW w:w="156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126090</w:t>
            </w:r>
          </w:p>
        </w:tc>
        <w:tc>
          <w:tcPr>
            <w:tcW w:w="1563" w:type="dxa"/>
            <w:tcBorders>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300" w:hRule="atLeast"/>
        </w:trPr>
        <w:tc>
          <w:tcPr>
            <w:tcW w:w="5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51</w:t>
            </w:r>
          </w:p>
        </w:tc>
        <w:tc>
          <w:tcPr>
            <w:tcW w:w="2126"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ИП Рубцова А.Н.</w:t>
            </w:r>
          </w:p>
        </w:tc>
        <w:tc>
          <w:tcPr>
            <w:tcW w:w="1416"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28.09.2017г.</w:t>
            </w:r>
          </w:p>
        </w:tc>
        <w:tc>
          <w:tcPr>
            <w:tcW w:w="851" w:type="dxa"/>
            <w:vMerge w:val="continue"/>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w:t>
            </w:r>
          </w:p>
        </w:tc>
        <w:tc>
          <w:tcPr>
            <w:tcW w:w="1415"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197 133,28</w:t>
            </w:r>
          </w:p>
        </w:tc>
        <w:tc>
          <w:tcPr>
            <w:tcW w:w="1560" w:type="dxa"/>
            <w:tcBorders>
              <w:top w:val="single" w:sz="4" w:space="0" w:color="000000"/>
              <w:bottom w:val="single" w:sz="4" w:space="0" w:color="000000"/>
              <w:right w:val="single" w:sz="4" w:space="0" w:color="000000"/>
            </w:tcBorders>
            <w:shd w:color="auto" w:fill="auto" w:val="clear"/>
            <w:vAlign w:val="center"/>
          </w:tcPr>
          <w:p>
            <w:pPr>
              <w:pStyle w:val="Normal"/>
              <w:ind w:right="-108" w:hanging="0"/>
              <w:jc w:val="center"/>
              <w:rPr>
                <w:color w:val="000000"/>
              </w:rPr>
            </w:pPr>
            <w:r>
              <w:rPr>
                <w:color w:val="000000"/>
              </w:rPr>
              <w:t>12 965 459,30</w:t>
            </w:r>
          </w:p>
        </w:tc>
        <w:tc>
          <w:tcPr>
            <w:tcW w:w="1563" w:type="dxa"/>
            <w:tcBorders>
              <w:top w:val="single" w:sz="4" w:space="0" w:color="000000"/>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Отказ от подписания договора аренды. Информация направлена в УАИ для проведения новых торгов.</w:t>
            </w:r>
          </w:p>
        </w:tc>
      </w:tr>
      <w:tr>
        <w:trPr>
          <w:trHeight w:val="1065" w:hRule="atLeast"/>
        </w:trPr>
        <w:tc>
          <w:tcPr>
            <w:tcW w:w="5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52</w:t>
            </w:r>
          </w:p>
        </w:tc>
        <w:tc>
          <w:tcPr>
            <w:tcW w:w="2126"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не состоявшиеся</w:t>
            </w:r>
          </w:p>
        </w:tc>
        <w:tc>
          <w:tcPr>
            <w:tcW w:w="1416"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28.09.2017г.</w:t>
            </w:r>
          </w:p>
        </w:tc>
        <w:tc>
          <w:tcPr>
            <w:tcW w:w="851" w:type="dxa"/>
            <w:vMerge w:val="continue"/>
            <w:tcBorders>
              <w:top w:val="single" w:sz="4" w:space="0" w:color="000000"/>
              <w:right w:val="single" w:sz="4" w:space="0" w:color="000000"/>
            </w:tcBorders>
            <w:shd w:fill="auto" w:val="clear"/>
            <w:vAlign w:val="center"/>
          </w:tcPr>
          <w:p>
            <w:pPr>
              <w:pStyle w:val="Normal"/>
              <w:jc w:val="center"/>
              <w:rPr>
                <w:color w:val="000000"/>
              </w:rPr>
            </w:pPr>
            <w:r>
              <w:rPr>
                <w:color w:val="000000"/>
              </w:rPr>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w:t>
            </w:r>
          </w:p>
        </w:tc>
        <w:tc>
          <w:tcPr>
            <w:tcW w:w="1415"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66 437,64</w:t>
            </w:r>
          </w:p>
        </w:tc>
        <w:tc>
          <w:tcPr>
            <w:tcW w:w="1560"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 </w:t>
            </w:r>
          </w:p>
        </w:tc>
        <w:tc>
          <w:tcPr>
            <w:tcW w:w="1563"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В связи с отсутствием предложения о повышении цены</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53</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Жигарева Г.А.</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28.09.2017г.</w:t>
            </w:r>
          </w:p>
        </w:tc>
        <w:tc>
          <w:tcPr>
            <w:tcW w:w="851" w:type="dxa"/>
            <w:vMerge w:val="continue"/>
            <w:tcBorders>
              <w:right w:val="single" w:sz="4" w:space="0" w:color="000000"/>
            </w:tcBorders>
            <w:shd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11.10.2017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35 756,99</w:t>
            </w:r>
          </w:p>
        </w:tc>
        <w:tc>
          <w:tcPr>
            <w:tcW w:w="156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36829,7</w:t>
            </w:r>
          </w:p>
        </w:tc>
        <w:tc>
          <w:tcPr>
            <w:tcW w:w="1563" w:type="dxa"/>
            <w:tcBorders>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 </w:t>
            </w:r>
          </w:p>
        </w:tc>
      </w:tr>
      <w:tr>
        <w:trPr>
          <w:trHeight w:val="108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54</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не состоявшиеся</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28.09.2017г.</w:t>
            </w:r>
          </w:p>
        </w:tc>
        <w:tc>
          <w:tcPr>
            <w:tcW w:w="851" w:type="dxa"/>
            <w:vMerge w:val="continue"/>
            <w:tcBorders>
              <w:right w:val="single" w:sz="4" w:space="0" w:color="000000"/>
            </w:tcBorders>
            <w:shd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355 207,22</w:t>
            </w:r>
          </w:p>
        </w:tc>
        <w:tc>
          <w:tcPr>
            <w:tcW w:w="156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 </w:t>
            </w:r>
          </w:p>
        </w:tc>
        <w:tc>
          <w:tcPr>
            <w:tcW w:w="1563" w:type="dxa"/>
            <w:tcBorders>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В связи с отсутствием предложения о повышении цены</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55</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ИП Рубцова А.Н.</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28.09.2017г.</w:t>
            </w:r>
          </w:p>
        </w:tc>
        <w:tc>
          <w:tcPr>
            <w:tcW w:w="851" w:type="dxa"/>
            <w:vMerge w:val="continue"/>
            <w:tcBorders>
              <w:right w:val="single" w:sz="4" w:space="0" w:color="000000"/>
            </w:tcBorders>
            <w:shd w:color="auto"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112 336,83</w:t>
            </w:r>
          </w:p>
        </w:tc>
        <w:tc>
          <w:tcPr>
            <w:tcW w:w="1560" w:type="dxa"/>
            <w:tcBorders>
              <w:bottom w:val="single" w:sz="4" w:space="0" w:color="000000"/>
              <w:right w:val="single" w:sz="4" w:space="0" w:color="000000"/>
            </w:tcBorders>
            <w:shd w:color="auto" w:fill="auto" w:val="clear"/>
            <w:vAlign w:val="center"/>
          </w:tcPr>
          <w:p>
            <w:pPr>
              <w:pStyle w:val="Normal"/>
              <w:ind w:right="-108" w:hanging="0"/>
              <w:jc w:val="center"/>
              <w:rPr>
                <w:color w:val="000000"/>
              </w:rPr>
            </w:pPr>
            <w:r>
              <w:rPr>
                <w:color w:val="000000"/>
              </w:rPr>
              <w:t>28 421 176,80</w:t>
            </w:r>
          </w:p>
        </w:tc>
        <w:tc>
          <w:tcPr>
            <w:tcW w:w="1563" w:type="dxa"/>
            <w:tcBorders>
              <w:bottom w:val="single" w:sz="4" w:space="0" w:color="000000"/>
              <w:right w:val="single" w:sz="4" w:space="0" w:color="000000"/>
            </w:tcBorders>
            <w:shd w:color="auto" w:fill="auto" w:val="clear"/>
            <w:vAlign w:val="center"/>
          </w:tcPr>
          <w:p>
            <w:pPr>
              <w:pStyle w:val="Normal"/>
              <w:jc w:val="center"/>
              <w:rPr>
                <w:rFonts w:ascii="Calibri" w:hAnsi="Calibri"/>
                <w:color w:val="000000"/>
                <w:sz w:val="20"/>
                <w:szCs w:val="20"/>
              </w:rPr>
            </w:pPr>
            <w:r>
              <w:rPr>
                <w:rFonts w:ascii="Calibri" w:hAnsi="Calibri"/>
                <w:color w:val="000000"/>
                <w:sz w:val="20"/>
                <w:szCs w:val="20"/>
              </w:rPr>
              <w:t>Отказ от подписания договора аренды. Информация направлена в УАИ для проведения новых торгов.</w:t>
            </w:r>
          </w:p>
        </w:tc>
      </w:tr>
      <w:tr>
        <w:trPr>
          <w:trHeight w:val="300" w:hRule="atLeast"/>
        </w:trPr>
        <w:tc>
          <w:tcPr>
            <w:tcW w:w="566"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56</w:t>
            </w:r>
          </w:p>
        </w:tc>
        <w:tc>
          <w:tcPr>
            <w:tcW w:w="212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Бацикадзе С.А.</w:t>
            </w:r>
          </w:p>
        </w:tc>
        <w:tc>
          <w:tcPr>
            <w:tcW w:w="1416"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28.09.2017г.</w:t>
            </w:r>
          </w:p>
        </w:tc>
        <w:tc>
          <w:tcPr>
            <w:tcW w:w="851" w:type="dxa"/>
            <w:vMerge w:val="continue"/>
            <w:tcBorders>
              <w:bottom w:val="single" w:sz="4" w:space="0" w:color="000000"/>
              <w:right w:val="single" w:sz="4" w:space="0" w:color="000000"/>
            </w:tcBorders>
            <w:shd w:fill="auto" w:val="clear"/>
            <w:vAlign w:val="center"/>
          </w:tcPr>
          <w:p>
            <w:pPr>
              <w:pStyle w:val="Normal"/>
              <w:jc w:val="center"/>
              <w:rPr>
                <w:color w:val="000000"/>
              </w:rPr>
            </w:pPr>
            <w:r>
              <w:rPr>
                <w:color w:val="000000"/>
              </w:rPr>
            </w:r>
          </w:p>
        </w:tc>
        <w:tc>
          <w:tcPr>
            <w:tcW w:w="1417"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11.10.2017</w:t>
            </w:r>
          </w:p>
        </w:tc>
        <w:tc>
          <w:tcPr>
            <w:tcW w:w="1415"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73 378,96</w:t>
            </w:r>
          </w:p>
        </w:tc>
        <w:tc>
          <w:tcPr>
            <w:tcW w:w="156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73379</w:t>
            </w:r>
          </w:p>
        </w:tc>
        <w:tc>
          <w:tcPr>
            <w:tcW w:w="1563" w:type="dxa"/>
            <w:tcBorders>
              <w:bottom w:val="single" w:sz="4" w:space="0" w:color="000000"/>
              <w:right w:val="single" w:sz="4" w:space="0" w:color="000000"/>
            </w:tcBorders>
            <w:shd w:color="auto" w:fill="auto" w:val="clear"/>
            <w:vAlign w:val="center"/>
          </w:tcPr>
          <w:p>
            <w:pPr>
              <w:pStyle w:val="Normal"/>
              <w:rPr>
                <w:color w:val="000000"/>
              </w:rPr>
            </w:pPr>
            <w:r>
              <w:rPr>
                <w:color w:val="000000"/>
              </w:rPr>
              <w:t> </w:t>
            </w:r>
          </w:p>
        </w:tc>
      </w:tr>
    </w:tbl>
    <w:p>
      <w:pPr>
        <w:pStyle w:val="Normal"/>
        <w:ind w:firstLine="426"/>
        <w:jc w:val="both"/>
        <w:rPr>
          <w:rFonts w:eastAsia="Calibri" w:eastAsiaTheme="minorHAnsi"/>
          <w:sz w:val="28"/>
          <w:szCs w:val="28"/>
          <w:lang w:eastAsia="en-US"/>
        </w:rPr>
      </w:pPr>
      <w:r>
        <w:rPr>
          <w:rFonts w:eastAsia="Calibri" w:eastAsiaTheme="minorHAnsi"/>
          <w:sz w:val="28"/>
          <w:szCs w:val="28"/>
          <w:lang w:eastAsia="en-US"/>
        </w:rPr>
        <w:t xml:space="preserve">Согласно статьи 39.12 «Земельного кодекса Российской Федерации»                    от 25.10.2001 № 136-ФЗ (редакции 31.12.2017), договор купли-продажи                      или договор аренды земельного участка заключается в тридцатидневный срок.                                                                </w:t>
      </w:r>
    </w:p>
    <w:p>
      <w:pPr>
        <w:pStyle w:val="Normal"/>
        <w:ind w:firstLine="426"/>
        <w:jc w:val="both"/>
        <w:rPr>
          <w:rFonts w:eastAsia="Calibri" w:eastAsiaTheme="minorHAnsi"/>
          <w:sz w:val="28"/>
          <w:szCs w:val="28"/>
          <w:lang w:eastAsia="en-US"/>
        </w:rPr>
      </w:pPr>
      <w:r>
        <w:rPr>
          <w:rFonts w:eastAsia="Calibri" w:eastAsiaTheme="minorHAnsi"/>
          <w:sz w:val="28"/>
          <w:szCs w:val="28"/>
          <w:lang w:eastAsia="en-US"/>
        </w:rPr>
        <w:t xml:space="preserve">Из прилагаемой таблице видно, что по срокам заключения договоров нарушения отсутствуют. </w:t>
      </w:r>
    </w:p>
    <w:p>
      <w:pPr>
        <w:pStyle w:val="Normal"/>
        <w:ind w:firstLine="709"/>
        <w:jc w:val="both"/>
        <w:rPr>
          <w:rFonts w:eastAsia="Calibri" w:eastAsiaTheme="minorHAnsi"/>
          <w:sz w:val="28"/>
          <w:szCs w:val="28"/>
          <w:lang w:eastAsia="en-US"/>
        </w:rPr>
      </w:pPr>
      <w:r>
        <w:rPr>
          <w:rFonts w:eastAsia="Calibri" w:eastAsiaTheme="minorHAnsi"/>
          <w:sz w:val="28"/>
          <w:szCs w:val="28"/>
          <w:lang w:eastAsia="en-US"/>
        </w:rPr>
        <w:t>По результатам проверки нарушений проведения аукционов                                    не обнаружено.</w:t>
      </w:r>
    </w:p>
    <w:p>
      <w:pPr>
        <w:pStyle w:val="Normal"/>
        <w:jc w:val="center"/>
        <w:rPr>
          <w:rFonts w:eastAsia="Calibri" w:eastAsiaTheme="minorHAnsi"/>
          <w:b/>
          <w:b/>
          <w:i/>
          <w:i/>
          <w:sz w:val="28"/>
          <w:szCs w:val="28"/>
          <w:lang w:eastAsia="en-US"/>
        </w:rPr>
      </w:pPr>
      <w:r>
        <w:rPr>
          <w:rFonts w:eastAsia="Calibri" w:eastAsiaTheme="minorHAnsi"/>
          <w:b/>
          <w:i/>
          <w:sz w:val="28"/>
          <w:szCs w:val="28"/>
          <w:lang w:eastAsia="en-US"/>
        </w:rPr>
      </w:r>
    </w:p>
    <w:p>
      <w:pPr>
        <w:pStyle w:val="Normal"/>
        <w:jc w:val="center"/>
        <w:rPr>
          <w:rFonts w:eastAsia="Calibri" w:eastAsiaTheme="minorHAnsi"/>
          <w:b/>
          <w:b/>
          <w:i/>
          <w:i/>
          <w:sz w:val="28"/>
          <w:szCs w:val="28"/>
          <w:lang w:eastAsia="en-US"/>
        </w:rPr>
      </w:pPr>
      <w:r>
        <w:rPr>
          <w:rFonts w:eastAsia="Calibri" w:eastAsiaTheme="minorHAnsi"/>
          <w:b/>
          <w:i/>
          <w:sz w:val="28"/>
          <w:szCs w:val="28"/>
          <w:lang w:eastAsia="en-US"/>
        </w:rPr>
        <w:t>Анализ дебиторской и кредиторской задолженности по договорам аренды земельных участков</w:t>
      </w:r>
    </w:p>
    <w:p>
      <w:pPr>
        <w:pStyle w:val="Normal"/>
        <w:jc w:val="center"/>
        <w:rPr>
          <w:rFonts w:eastAsia="Calibri" w:eastAsiaTheme="minorHAnsi"/>
          <w:b/>
          <w:b/>
          <w:i/>
          <w:i/>
          <w:sz w:val="28"/>
          <w:szCs w:val="28"/>
          <w:lang w:eastAsia="en-US"/>
        </w:rPr>
      </w:pPr>
      <w:r>
        <w:rPr>
          <w:rFonts w:eastAsia="Calibri" w:eastAsiaTheme="minorHAnsi"/>
          <w:b/>
          <w:i/>
          <w:sz w:val="28"/>
          <w:szCs w:val="28"/>
          <w:lang w:eastAsia="en-US"/>
        </w:rPr>
      </w:r>
    </w:p>
    <w:p>
      <w:pPr>
        <w:pStyle w:val="Normal"/>
        <w:ind w:firstLine="708"/>
        <w:jc w:val="both"/>
        <w:rPr>
          <w:rFonts w:eastAsia="Calibri" w:eastAsiaTheme="minorHAnsi"/>
          <w:sz w:val="28"/>
          <w:szCs w:val="28"/>
          <w:lang w:eastAsia="en-US"/>
        </w:rPr>
      </w:pPr>
      <w:r>
        <w:rPr>
          <w:rFonts w:eastAsia="Calibri" w:eastAsiaTheme="minorHAnsi"/>
          <w:sz w:val="28"/>
          <w:szCs w:val="28"/>
          <w:lang w:eastAsia="en-US"/>
        </w:rPr>
        <w:t>По состоянию на 31.12.2017 года задолженность физических лиц                        по арендной плате перед КУМИ составляет 12 623 400,00 рублей                                     (на 01.01.2017 составляла 10 967 400,00 рублей) в том числе 10 договоров имеют задолженность более 300 000,00 рублей на общую сумму 5 171 700,00 рублей (на 01.01.2017 составляла 4 952 200,00 рублей), 13 договоров задолженность более  100 000,00 рублей на общую сумму 2 412 000,00 рублей (на 01.01.2017 составляла 1 630 200,00  рублей), 2034 договора задолженность более 1 000,00 рублей на общую сумму 5 039 600,00 рублей (на 01.01.2017 составляла 4 385 000,00 рублей).</w:t>
      </w:r>
    </w:p>
    <w:p>
      <w:pPr>
        <w:pStyle w:val="Normal"/>
        <w:ind w:firstLine="708"/>
        <w:jc w:val="both"/>
        <w:rPr>
          <w:rFonts w:eastAsia="Calibri" w:eastAsiaTheme="minorHAnsi"/>
          <w:sz w:val="28"/>
          <w:szCs w:val="28"/>
          <w:lang w:eastAsia="en-US"/>
        </w:rPr>
      </w:pPr>
      <w:r>
        <w:rPr>
          <w:rFonts w:eastAsia="Calibri" w:eastAsiaTheme="minorHAnsi"/>
          <w:sz w:val="28"/>
          <w:szCs w:val="28"/>
          <w:lang w:eastAsia="en-US"/>
        </w:rPr>
        <w:t xml:space="preserve"> </w:t>
      </w:r>
      <w:r>
        <w:rPr>
          <w:rFonts w:eastAsia="Calibri" w:eastAsiaTheme="minorHAnsi"/>
          <w:sz w:val="28"/>
          <w:szCs w:val="28"/>
          <w:lang w:eastAsia="en-US"/>
        </w:rPr>
        <w:t>По состоянию на 31.12.2017 года юридических лиц составляет 12 980 300,00 рублей. (на 01.01.2017 составляла 12 491 300,00 рублей).</w:t>
      </w:r>
    </w:p>
    <w:p>
      <w:pPr>
        <w:pStyle w:val="Normal"/>
        <w:ind w:firstLine="708"/>
        <w:jc w:val="both"/>
        <w:rPr>
          <w:rFonts w:eastAsia="Calibri" w:eastAsiaTheme="minorHAnsi"/>
          <w:sz w:val="28"/>
          <w:szCs w:val="28"/>
          <w:lang w:eastAsia="en-US"/>
        </w:rPr>
      </w:pPr>
      <w:r>
        <w:rPr>
          <w:rFonts w:eastAsia="Calibri" w:eastAsiaTheme="minorHAnsi"/>
          <w:sz w:val="28"/>
          <w:szCs w:val="28"/>
          <w:lang w:eastAsia="en-US"/>
        </w:rPr>
        <w:t>Из сравнении на начало года и конец года задолженность увеличилась по:</w:t>
      </w:r>
    </w:p>
    <w:p>
      <w:pPr>
        <w:pStyle w:val="Normal"/>
        <w:ind w:firstLine="708"/>
        <w:jc w:val="both"/>
        <w:rPr>
          <w:rFonts w:eastAsia="Calibri" w:eastAsiaTheme="minorHAnsi"/>
          <w:sz w:val="28"/>
          <w:szCs w:val="28"/>
          <w:lang w:eastAsia="en-US"/>
        </w:rPr>
      </w:pPr>
      <w:r>
        <w:rPr>
          <w:rFonts w:eastAsia="Calibri" w:eastAsiaTheme="minorHAnsi"/>
          <w:sz w:val="28"/>
          <w:szCs w:val="28"/>
          <w:lang w:eastAsia="en-US"/>
        </w:rPr>
        <w:t>- физическим лицам на 1 656 000,00 рублей</w:t>
      </w:r>
    </w:p>
    <w:p>
      <w:pPr>
        <w:pStyle w:val="Normal"/>
        <w:ind w:firstLine="708"/>
        <w:jc w:val="both"/>
        <w:rPr>
          <w:rFonts w:eastAsia="Calibri" w:eastAsiaTheme="minorHAnsi"/>
          <w:sz w:val="28"/>
          <w:szCs w:val="28"/>
          <w:lang w:eastAsia="en-US"/>
        </w:rPr>
      </w:pPr>
      <w:r>
        <w:rPr>
          <w:rFonts w:eastAsia="Calibri" w:eastAsiaTheme="minorHAnsi"/>
          <w:sz w:val="28"/>
          <w:szCs w:val="28"/>
          <w:lang w:eastAsia="en-US"/>
        </w:rPr>
        <w:t>- юридическим лицам на 489 000,00 рублей</w:t>
      </w:r>
    </w:p>
    <w:p>
      <w:pPr>
        <w:pStyle w:val="Normal"/>
        <w:ind w:firstLine="708"/>
        <w:jc w:val="both"/>
        <w:rPr>
          <w:rFonts w:eastAsia="Calibri" w:eastAsiaTheme="minorHAnsi"/>
          <w:sz w:val="28"/>
          <w:szCs w:val="28"/>
          <w:lang w:eastAsia="en-US"/>
        </w:rPr>
      </w:pPr>
      <w:r>
        <w:rPr>
          <w:rFonts w:eastAsia="Calibri" w:eastAsiaTheme="minorHAnsi"/>
          <w:sz w:val="28"/>
          <w:szCs w:val="28"/>
          <w:lang w:eastAsia="en-US"/>
        </w:rPr>
        <w:t xml:space="preserve">При этом, дебиторская задолженность не подтверждена актами сверок. </w:t>
      </w:r>
    </w:p>
    <w:p>
      <w:pPr>
        <w:pStyle w:val="Normal"/>
        <w:ind w:firstLine="708"/>
        <w:jc w:val="both"/>
        <w:rPr>
          <w:rFonts w:eastAsia="Calibri" w:eastAsiaTheme="minorHAnsi"/>
          <w:sz w:val="28"/>
          <w:szCs w:val="28"/>
          <w:lang w:eastAsia="en-US"/>
        </w:rPr>
      </w:pPr>
      <w:r>
        <w:rPr>
          <w:rFonts w:eastAsia="Calibri" w:eastAsiaTheme="minorHAnsi"/>
          <w:sz w:val="28"/>
          <w:szCs w:val="28"/>
          <w:lang w:eastAsia="en-US"/>
        </w:rPr>
        <w:t>Увеличение задолженности перед КУМИ по договорам аренды привело                 к потере доходов бюджета в сумме 2 145 000,00 рублей. В результате проверки выявлены договоры аренды земельных участков, по которым больше года                    не вносится арендная плата, например:</w:t>
      </w:r>
    </w:p>
    <w:p>
      <w:pPr>
        <w:pStyle w:val="Normal"/>
        <w:jc w:val="right"/>
        <w:rPr>
          <w:rFonts w:eastAsia="Calibri" w:eastAsiaTheme="minorHAnsi"/>
          <w:lang w:eastAsia="en-US"/>
        </w:rPr>
      </w:pPr>
      <w:r>
        <w:rPr>
          <w:rFonts w:eastAsia="Calibri" w:eastAsiaTheme="minorHAnsi"/>
          <w:lang w:eastAsia="en-US"/>
        </w:rPr>
        <w:t>(таблица 4)</w:t>
      </w:r>
    </w:p>
    <w:tbl>
      <w:tblPr>
        <w:tblW w:w="9162" w:type="dxa"/>
        <w:jc w:val="left"/>
        <w:tblInd w:w="93" w:type="dxa"/>
        <w:tblCellMar>
          <w:top w:w="0" w:type="dxa"/>
          <w:left w:w="108" w:type="dxa"/>
          <w:bottom w:w="0" w:type="dxa"/>
          <w:right w:w="108" w:type="dxa"/>
        </w:tblCellMar>
        <w:tblLook w:firstRow="1" w:noVBand="1" w:lastRow="0" w:firstColumn="1" w:lastColumn="0" w:noHBand="0" w:val="04a0"/>
      </w:tblPr>
      <w:tblGrid>
        <w:gridCol w:w="599"/>
        <w:gridCol w:w="4234"/>
        <w:gridCol w:w="2027"/>
        <w:gridCol w:w="2301"/>
      </w:tblGrid>
      <w:tr>
        <w:trPr>
          <w:trHeight w:val="750" w:hRule="atLeast"/>
        </w:trPr>
        <w:tc>
          <w:tcPr>
            <w:tcW w:w="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color w:val="000000"/>
                <w:sz w:val="28"/>
                <w:szCs w:val="28"/>
              </w:rPr>
            </w:pPr>
            <w:r>
              <w:rPr>
                <w:color w:val="000000"/>
                <w:sz w:val="28"/>
                <w:szCs w:val="28"/>
              </w:rPr>
              <w:t xml:space="preserve">№ </w:t>
            </w:r>
            <w:r>
              <w:rPr>
                <w:color w:val="000000"/>
                <w:sz w:val="28"/>
                <w:szCs w:val="28"/>
              </w:rPr>
              <w:t>п/п</w:t>
            </w:r>
          </w:p>
        </w:tc>
        <w:tc>
          <w:tcPr>
            <w:tcW w:w="4234" w:type="dxa"/>
            <w:tcBorders>
              <w:top w:val="single" w:sz="4" w:space="0" w:color="000000"/>
              <w:bottom w:val="single" w:sz="4" w:space="0" w:color="000000"/>
              <w:right w:val="single" w:sz="4" w:space="0" w:color="000000"/>
            </w:tcBorders>
            <w:shd w:color="auto" w:fill="auto" w:val="clear"/>
            <w:vAlign w:val="bottom"/>
          </w:tcPr>
          <w:p>
            <w:pPr>
              <w:pStyle w:val="Normal"/>
              <w:rPr>
                <w:color w:val="000000"/>
                <w:sz w:val="28"/>
                <w:szCs w:val="28"/>
              </w:rPr>
            </w:pPr>
            <w:r>
              <w:rPr>
                <w:color w:val="000000"/>
                <w:sz w:val="28"/>
                <w:szCs w:val="28"/>
              </w:rPr>
              <w:t>Арендатор</w:t>
            </w:r>
          </w:p>
        </w:tc>
        <w:tc>
          <w:tcPr>
            <w:tcW w:w="2027" w:type="dxa"/>
            <w:tcBorders>
              <w:top w:val="single" w:sz="4" w:space="0" w:color="000000"/>
              <w:bottom w:val="single" w:sz="4" w:space="0" w:color="000000"/>
              <w:right w:val="single" w:sz="4" w:space="0" w:color="000000"/>
            </w:tcBorders>
            <w:shd w:color="auto" w:fill="auto" w:val="clear"/>
            <w:vAlign w:val="bottom"/>
          </w:tcPr>
          <w:p>
            <w:pPr>
              <w:pStyle w:val="Normal"/>
              <w:rPr>
                <w:color w:val="000000"/>
                <w:sz w:val="28"/>
                <w:szCs w:val="28"/>
              </w:rPr>
            </w:pPr>
            <w:r>
              <w:rPr>
                <w:color w:val="000000"/>
                <w:sz w:val="28"/>
                <w:szCs w:val="28"/>
              </w:rPr>
              <w:t>Сумма задолженности</w:t>
            </w:r>
          </w:p>
        </w:tc>
        <w:tc>
          <w:tcPr>
            <w:tcW w:w="2301" w:type="dxa"/>
            <w:tcBorders>
              <w:top w:val="single" w:sz="4" w:space="0" w:color="000000"/>
              <w:bottom w:val="single" w:sz="4" w:space="0" w:color="000000"/>
              <w:right w:val="single" w:sz="4" w:space="0" w:color="000000"/>
            </w:tcBorders>
            <w:shd w:color="auto" w:fill="auto" w:val="clear"/>
            <w:vAlign w:val="bottom"/>
          </w:tcPr>
          <w:p>
            <w:pPr>
              <w:pStyle w:val="Normal"/>
              <w:rPr>
                <w:color w:val="000000"/>
                <w:sz w:val="28"/>
                <w:szCs w:val="28"/>
              </w:rPr>
            </w:pPr>
            <w:r>
              <w:rPr>
                <w:color w:val="000000"/>
                <w:sz w:val="28"/>
                <w:szCs w:val="28"/>
              </w:rPr>
              <w:t>Дата последнего платежа</w:t>
            </w:r>
          </w:p>
        </w:tc>
      </w:tr>
      <w:tr>
        <w:trPr>
          <w:trHeight w:val="375" w:hRule="atLeast"/>
        </w:trPr>
        <w:tc>
          <w:tcPr>
            <w:tcW w:w="599" w:type="dxa"/>
            <w:tcBorders>
              <w:left w:val="single" w:sz="4" w:space="0" w:color="000000"/>
              <w:bottom w:val="single" w:sz="4" w:space="0" w:color="000000"/>
              <w:right w:val="single" w:sz="4" w:space="0" w:color="000000"/>
            </w:tcBorders>
            <w:shd w:color="auto" w:fill="auto" w:val="clear"/>
            <w:vAlign w:val="bottom"/>
          </w:tcPr>
          <w:p>
            <w:pPr>
              <w:pStyle w:val="Normal"/>
              <w:jc w:val="right"/>
              <w:rPr>
                <w:color w:val="000000"/>
                <w:sz w:val="28"/>
                <w:szCs w:val="28"/>
              </w:rPr>
            </w:pPr>
            <w:r>
              <w:rPr>
                <w:color w:val="000000"/>
                <w:sz w:val="28"/>
                <w:szCs w:val="28"/>
              </w:rPr>
              <w:t>1</w:t>
            </w:r>
          </w:p>
        </w:tc>
        <w:tc>
          <w:tcPr>
            <w:tcW w:w="4234" w:type="dxa"/>
            <w:tcBorders>
              <w:bottom w:val="single" w:sz="4" w:space="0" w:color="000000"/>
              <w:right w:val="single" w:sz="4" w:space="0" w:color="000000"/>
            </w:tcBorders>
            <w:shd w:color="auto" w:fill="auto" w:val="clear"/>
            <w:vAlign w:val="bottom"/>
          </w:tcPr>
          <w:p>
            <w:pPr>
              <w:pStyle w:val="Normal"/>
              <w:rPr>
                <w:color w:val="000000"/>
                <w:sz w:val="28"/>
                <w:szCs w:val="28"/>
              </w:rPr>
            </w:pPr>
            <w:r>
              <w:rPr>
                <w:color w:val="000000"/>
                <w:sz w:val="28"/>
                <w:szCs w:val="28"/>
              </w:rPr>
              <w:t>ООО «Мусоро-Сортировочная Компания –Восток»</w:t>
            </w:r>
          </w:p>
        </w:tc>
        <w:tc>
          <w:tcPr>
            <w:tcW w:w="2027" w:type="dxa"/>
            <w:tcBorders>
              <w:bottom w:val="single" w:sz="4" w:space="0" w:color="000000"/>
              <w:right w:val="single" w:sz="4" w:space="0" w:color="000000"/>
            </w:tcBorders>
            <w:shd w:color="auto" w:fill="auto" w:val="clear"/>
            <w:vAlign w:val="bottom"/>
          </w:tcPr>
          <w:p>
            <w:pPr>
              <w:pStyle w:val="Normal"/>
              <w:jc w:val="right"/>
              <w:rPr>
                <w:color w:val="000000"/>
                <w:sz w:val="28"/>
                <w:szCs w:val="28"/>
              </w:rPr>
            </w:pPr>
            <w:r>
              <w:rPr>
                <w:color w:val="000000"/>
                <w:sz w:val="28"/>
                <w:szCs w:val="28"/>
              </w:rPr>
              <w:t>201957,99</w:t>
            </w:r>
          </w:p>
        </w:tc>
        <w:tc>
          <w:tcPr>
            <w:tcW w:w="2301" w:type="dxa"/>
            <w:tcBorders>
              <w:bottom w:val="single" w:sz="4" w:space="0" w:color="000000"/>
              <w:right w:val="single" w:sz="4" w:space="0" w:color="000000"/>
            </w:tcBorders>
            <w:shd w:color="auto" w:fill="auto" w:val="clear"/>
            <w:vAlign w:val="bottom"/>
          </w:tcPr>
          <w:p>
            <w:pPr>
              <w:pStyle w:val="Normal"/>
              <w:jc w:val="right"/>
              <w:rPr>
                <w:color w:val="000000"/>
                <w:sz w:val="28"/>
                <w:szCs w:val="28"/>
              </w:rPr>
            </w:pPr>
            <w:r>
              <w:rPr>
                <w:color w:val="000000"/>
                <w:sz w:val="28"/>
                <w:szCs w:val="28"/>
              </w:rPr>
              <w:t>В 2016 году</w:t>
            </w:r>
          </w:p>
        </w:tc>
      </w:tr>
      <w:tr>
        <w:trPr>
          <w:trHeight w:val="571" w:hRule="atLeast"/>
        </w:trPr>
        <w:tc>
          <w:tcPr>
            <w:tcW w:w="599" w:type="dxa"/>
            <w:tcBorders>
              <w:left w:val="single" w:sz="4" w:space="0" w:color="000000"/>
              <w:bottom w:val="single" w:sz="4" w:space="0" w:color="000000"/>
              <w:right w:val="single" w:sz="4" w:space="0" w:color="000000"/>
            </w:tcBorders>
            <w:shd w:color="auto" w:fill="auto" w:val="clear"/>
            <w:vAlign w:val="bottom"/>
          </w:tcPr>
          <w:p>
            <w:pPr>
              <w:pStyle w:val="Normal"/>
              <w:jc w:val="right"/>
              <w:rPr>
                <w:color w:val="000000"/>
                <w:sz w:val="28"/>
                <w:szCs w:val="28"/>
              </w:rPr>
            </w:pPr>
            <w:r>
              <w:rPr>
                <w:color w:val="000000"/>
                <w:sz w:val="28"/>
                <w:szCs w:val="28"/>
              </w:rPr>
              <w:t>2</w:t>
            </w:r>
          </w:p>
        </w:tc>
        <w:tc>
          <w:tcPr>
            <w:tcW w:w="4234" w:type="dxa"/>
            <w:tcBorders>
              <w:bottom w:val="single" w:sz="4" w:space="0" w:color="000000"/>
              <w:right w:val="single" w:sz="4" w:space="0" w:color="000000"/>
            </w:tcBorders>
            <w:shd w:color="auto" w:fill="auto" w:val="clear"/>
            <w:vAlign w:val="bottom"/>
          </w:tcPr>
          <w:p>
            <w:pPr>
              <w:pStyle w:val="Normal"/>
              <w:rPr>
                <w:color w:val="000000"/>
                <w:sz w:val="28"/>
                <w:szCs w:val="28"/>
              </w:rPr>
            </w:pPr>
            <w:r>
              <w:rPr>
                <w:color w:val="000000"/>
                <w:sz w:val="28"/>
                <w:szCs w:val="28"/>
              </w:rPr>
              <w:t>ООО «Семья»</w:t>
            </w:r>
          </w:p>
        </w:tc>
        <w:tc>
          <w:tcPr>
            <w:tcW w:w="2027" w:type="dxa"/>
            <w:tcBorders>
              <w:bottom w:val="single" w:sz="4" w:space="0" w:color="000000"/>
              <w:right w:val="single" w:sz="4" w:space="0" w:color="000000"/>
            </w:tcBorders>
            <w:shd w:color="auto" w:fill="auto" w:val="clear"/>
            <w:vAlign w:val="bottom"/>
          </w:tcPr>
          <w:p>
            <w:pPr>
              <w:pStyle w:val="Normal"/>
              <w:jc w:val="right"/>
              <w:rPr>
                <w:color w:val="000000"/>
                <w:sz w:val="28"/>
                <w:szCs w:val="28"/>
              </w:rPr>
            </w:pPr>
            <w:r>
              <w:rPr>
                <w:color w:val="000000"/>
                <w:sz w:val="28"/>
                <w:szCs w:val="28"/>
              </w:rPr>
              <w:t>1 795 948,00</w:t>
            </w:r>
          </w:p>
        </w:tc>
        <w:tc>
          <w:tcPr>
            <w:tcW w:w="2301" w:type="dxa"/>
            <w:tcBorders>
              <w:bottom w:val="single" w:sz="4" w:space="0" w:color="000000"/>
              <w:right w:val="single" w:sz="4" w:space="0" w:color="000000"/>
            </w:tcBorders>
            <w:shd w:color="auto" w:fill="auto" w:val="clear"/>
            <w:vAlign w:val="bottom"/>
          </w:tcPr>
          <w:p>
            <w:pPr>
              <w:pStyle w:val="Normal"/>
              <w:jc w:val="right"/>
              <w:rPr>
                <w:color w:val="000000"/>
                <w:sz w:val="28"/>
                <w:szCs w:val="28"/>
              </w:rPr>
            </w:pPr>
            <w:r>
              <w:rPr>
                <w:color w:val="000000"/>
                <w:sz w:val="28"/>
                <w:szCs w:val="28"/>
              </w:rPr>
              <w:t>В 2016 году</w:t>
            </w:r>
          </w:p>
        </w:tc>
      </w:tr>
      <w:tr>
        <w:trPr>
          <w:trHeight w:val="375" w:hRule="atLeast"/>
        </w:trPr>
        <w:tc>
          <w:tcPr>
            <w:tcW w:w="599" w:type="dxa"/>
            <w:tcBorders>
              <w:left w:val="single" w:sz="4" w:space="0" w:color="000000"/>
              <w:bottom w:val="single" w:sz="4" w:space="0" w:color="000000"/>
              <w:right w:val="single" w:sz="4" w:space="0" w:color="000000"/>
            </w:tcBorders>
            <w:shd w:color="auto" w:fill="auto" w:val="clear"/>
            <w:vAlign w:val="bottom"/>
          </w:tcPr>
          <w:p>
            <w:pPr>
              <w:pStyle w:val="Normal"/>
              <w:jc w:val="right"/>
              <w:rPr>
                <w:color w:val="000000"/>
                <w:sz w:val="28"/>
                <w:szCs w:val="28"/>
              </w:rPr>
            </w:pPr>
            <w:r>
              <w:rPr>
                <w:color w:val="000000"/>
                <w:sz w:val="28"/>
                <w:szCs w:val="28"/>
              </w:rPr>
              <w:t>3</w:t>
            </w:r>
          </w:p>
        </w:tc>
        <w:tc>
          <w:tcPr>
            <w:tcW w:w="4234" w:type="dxa"/>
            <w:tcBorders>
              <w:bottom w:val="single" w:sz="4" w:space="0" w:color="000000"/>
              <w:right w:val="single" w:sz="4" w:space="0" w:color="000000"/>
            </w:tcBorders>
            <w:shd w:color="auto" w:fill="auto" w:val="clear"/>
            <w:vAlign w:val="bottom"/>
          </w:tcPr>
          <w:p>
            <w:pPr>
              <w:pStyle w:val="Normal"/>
              <w:rPr>
                <w:color w:val="000000"/>
                <w:sz w:val="28"/>
                <w:szCs w:val="28"/>
              </w:rPr>
            </w:pPr>
            <w:r>
              <w:rPr>
                <w:color w:val="000000"/>
                <w:sz w:val="28"/>
                <w:szCs w:val="28"/>
              </w:rPr>
              <w:t>ООО «Стандарт»</w:t>
            </w:r>
          </w:p>
        </w:tc>
        <w:tc>
          <w:tcPr>
            <w:tcW w:w="2027" w:type="dxa"/>
            <w:tcBorders>
              <w:bottom w:val="single" w:sz="4" w:space="0" w:color="000000"/>
              <w:right w:val="single" w:sz="4" w:space="0" w:color="000000"/>
            </w:tcBorders>
            <w:shd w:color="auto" w:fill="auto" w:val="clear"/>
            <w:vAlign w:val="bottom"/>
          </w:tcPr>
          <w:p>
            <w:pPr>
              <w:pStyle w:val="Normal"/>
              <w:jc w:val="right"/>
              <w:rPr>
                <w:color w:val="000000"/>
                <w:sz w:val="28"/>
                <w:szCs w:val="28"/>
              </w:rPr>
            </w:pPr>
            <w:r>
              <w:rPr>
                <w:color w:val="000000"/>
                <w:sz w:val="28"/>
                <w:szCs w:val="28"/>
              </w:rPr>
              <w:t>1 211 254,00</w:t>
            </w:r>
          </w:p>
        </w:tc>
        <w:tc>
          <w:tcPr>
            <w:tcW w:w="2301" w:type="dxa"/>
            <w:tcBorders>
              <w:bottom w:val="single" w:sz="4" w:space="0" w:color="000000"/>
              <w:right w:val="single" w:sz="4" w:space="0" w:color="000000"/>
            </w:tcBorders>
            <w:shd w:color="auto" w:fill="auto" w:val="clear"/>
            <w:vAlign w:val="bottom"/>
          </w:tcPr>
          <w:p>
            <w:pPr>
              <w:pStyle w:val="Normal"/>
              <w:jc w:val="right"/>
              <w:rPr>
                <w:color w:val="000000"/>
                <w:sz w:val="28"/>
                <w:szCs w:val="28"/>
              </w:rPr>
            </w:pPr>
            <w:r>
              <w:rPr>
                <w:color w:val="000000"/>
                <w:sz w:val="28"/>
                <w:szCs w:val="28"/>
              </w:rPr>
              <w:t>В 2016 году</w:t>
            </w:r>
          </w:p>
        </w:tc>
      </w:tr>
      <w:tr>
        <w:trPr>
          <w:trHeight w:val="375" w:hRule="atLeast"/>
        </w:trPr>
        <w:tc>
          <w:tcPr>
            <w:tcW w:w="599" w:type="dxa"/>
            <w:tcBorders>
              <w:left w:val="single" w:sz="4" w:space="0" w:color="000000"/>
              <w:bottom w:val="single" w:sz="4" w:space="0" w:color="000000"/>
              <w:right w:val="single" w:sz="4" w:space="0" w:color="000000"/>
            </w:tcBorders>
            <w:shd w:color="auto" w:fill="auto" w:val="clear"/>
            <w:vAlign w:val="bottom"/>
          </w:tcPr>
          <w:p>
            <w:pPr>
              <w:pStyle w:val="Normal"/>
              <w:rPr>
                <w:color w:val="000000"/>
                <w:sz w:val="28"/>
                <w:szCs w:val="28"/>
              </w:rPr>
            </w:pPr>
            <w:r>
              <w:rPr>
                <w:color w:val="000000"/>
                <w:sz w:val="28"/>
                <w:szCs w:val="28"/>
              </w:rPr>
              <w:t> </w:t>
            </w:r>
          </w:p>
        </w:tc>
        <w:tc>
          <w:tcPr>
            <w:tcW w:w="4234" w:type="dxa"/>
            <w:tcBorders>
              <w:bottom w:val="single" w:sz="4" w:space="0" w:color="000000"/>
              <w:right w:val="single" w:sz="4" w:space="0" w:color="000000"/>
            </w:tcBorders>
            <w:shd w:color="auto" w:fill="auto" w:val="clear"/>
            <w:vAlign w:val="bottom"/>
          </w:tcPr>
          <w:p>
            <w:pPr>
              <w:pStyle w:val="Normal"/>
              <w:rPr>
                <w:color w:val="000000"/>
                <w:sz w:val="28"/>
                <w:szCs w:val="28"/>
              </w:rPr>
            </w:pPr>
            <w:r>
              <w:rPr>
                <w:color w:val="000000"/>
                <w:sz w:val="28"/>
                <w:szCs w:val="28"/>
              </w:rPr>
              <w:t>Итого:</w:t>
            </w:r>
          </w:p>
        </w:tc>
        <w:tc>
          <w:tcPr>
            <w:tcW w:w="2027" w:type="dxa"/>
            <w:tcBorders>
              <w:bottom w:val="single" w:sz="4" w:space="0" w:color="000000"/>
              <w:right w:val="single" w:sz="4" w:space="0" w:color="000000"/>
            </w:tcBorders>
            <w:shd w:color="auto" w:fill="auto" w:val="clear"/>
            <w:vAlign w:val="bottom"/>
          </w:tcPr>
          <w:p>
            <w:pPr>
              <w:pStyle w:val="Normal"/>
              <w:jc w:val="right"/>
              <w:rPr>
                <w:color w:val="000000"/>
                <w:sz w:val="28"/>
                <w:szCs w:val="28"/>
              </w:rPr>
            </w:pPr>
            <w:r>
              <w:rPr>
                <w:color w:val="000000"/>
                <w:sz w:val="28"/>
                <w:szCs w:val="28"/>
              </w:rPr>
              <w:t>3 209 159,99</w:t>
            </w:r>
          </w:p>
        </w:tc>
        <w:tc>
          <w:tcPr>
            <w:tcW w:w="2301" w:type="dxa"/>
            <w:tcBorders>
              <w:bottom w:val="single" w:sz="4" w:space="0" w:color="000000"/>
              <w:right w:val="single" w:sz="4" w:space="0" w:color="000000"/>
            </w:tcBorders>
            <w:shd w:color="auto" w:fill="auto" w:val="clear"/>
            <w:vAlign w:val="bottom"/>
          </w:tcPr>
          <w:p>
            <w:pPr>
              <w:pStyle w:val="Normal"/>
              <w:rPr>
                <w:color w:val="000000"/>
                <w:sz w:val="28"/>
                <w:szCs w:val="28"/>
              </w:rPr>
            </w:pPr>
            <w:r>
              <w:rPr>
                <w:color w:val="000000"/>
                <w:sz w:val="28"/>
                <w:szCs w:val="28"/>
              </w:rPr>
              <w:t> </w:t>
            </w:r>
          </w:p>
        </w:tc>
      </w:tr>
    </w:tbl>
    <w:p>
      <w:pPr>
        <w:pStyle w:val="Normal"/>
        <w:ind w:firstLine="708"/>
        <w:jc w:val="both"/>
        <w:rPr>
          <w:rFonts w:eastAsia="Calibri" w:eastAsiaTheme="minorHAnsi"/>
          <w:sz w:val="28"/>
          <w:szCs w:val="28"/>
          <w:lang w:eastAsia="en-US"/>
        </w:rPr>
      </w:pPr>
      <w:r>
        <w:rPr>
          <w:rFonts w:eastAsia="Calibri" w:eastAsiaTheme="minorHAnsi"/>
          <w:sz w:val="28"/>
          <w:szCs w:val="28"/>
          <w:lang w:eastAsia="en-US"/>
        </w:rPr>
        <w:t>Также выявлены договоры аренды земельных участков, по которым арендная плата не внесена более двух сроков подряд:</w:t>
      </w:r>
    </w:p>
    <w:p>
      <w:pPr>
        <w:pStyle w:val="Normal"/>
        <w:ind w:firstLine="708"/>
        <w:jc w:val="right"/>
        <w:rPr>
          <w:rFonts w:eastAsia="Calibri" w:eastAsiaTheme="minorHAnsi"/>
          <w:lang w:eastAsia="en-US"/>
        </w:rPr>
      </w:pPr>
      <w:r>
        <w:rPr>
          <w:rFonts w:eastAsia="Calibri" w:eastAsiaTheme="minorHAnsi"/>
          <w:lang w:eastAsia="en-US"/>
        </w:rPr>
        <w:t>(таблица 5)</w:t>
      </w:r>
    </w:p>
    <w:tbl>
      <w:tblPr>
        <w:tblW w:w="9087" w:type="dxa"/>
        <w:jc w:val="left"/>
        <w:tblInd w:w="93" w:type="dxa"/>
        <w:tblCellMar>
          <w:top w:w="0" w:type="dxa"/>
          <w:left w:w="108" w:type="dxa"/>
          <w:bottom w:w="0" w:type="dxa"/>
          <w:right w:w="108" w:type="dxa"/>
        </w:tblCellMar>
        <w:tblLook w:firstRow="1" w:noVBand="1" w:lastRow="0" w:firstColumn="1" w:lastColumn="0" w:noHBand="0" w:val="04a0"/>
      </w:tblPr>
      <w:tblGrid>
        <w:gridCol w:w="859"/>
        <w:gridCol w:w="3408"/>
        <w:gridCol w:w="2268"/>
        <w:gridCol w:w="2551"/>
      </w:tblGrid>
      <w:tr>
        <w:trPr>
          <w:trHeight w:val="469" w:hRule="atLeast"/>
        </w:trPr>
        <w:tc>
          <w:tcPr>
            <w:tcW w:w="85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rPr>
                <w:color w:val="000000"/>
                <w:sz w:val="28"/>
                <w:szCs w:val="28"/>
              </w:rPr>
            </w:pPr>
            <w:r>
              <w:rPr>
                <w:color w:val="000000"/>
                <w:sz w:val="28"/>
                <w:szCs w:val="28"/>
              </w:rPr>
              <w:t xml:space="preserve">№ </w:t>
            </w:r>
            <w:r>
              <w:rPr>
                <w:color w:val="000000"/>
                <w:sz w:val="28"/>
                <w:szCs w:val="28"/>
              </w:rPr>
              <w:t>п/п</w:t>
            </w:r>
          </w:p>
        </w:tc>
        <w:tc>
          <w:tcPr>
            <w:tcW w:w="3408" w:type="dxa"/>
            <w:tcBorders>
              <w:top w:val="single" w:sz="4" w:space="0" w:color="000000"/>
              <w:bottom w:val="single" w:sz="4" w:space="0" w:color="000000"/>
              <w:right w:val="single" w:sz="4" w:space="0" w:color="000000"/>
            </w:tcBorders>
            <w:shd w:color="auto" w:fill="auto" w:val="clear"/>
            <w:vAlign w:val="bottom"/>
          </w:tcPr>
          <w:p>
            <w:pPr>
              <w:pStyle w:val="Normal"/>
              <w:rPr>
                <w:color w:val="000000"/>
                <w:sz w:val="28"/>
                <w:szCs w:val="28"/>
              </w:rPr>
            </w:pPr>
            <w:r>
              <w:rPr>
                <w:color w:val="000000"/>
                <w:sz w:val="28"/>
                <w:szCs w:val="28"/>
              </w:rPr>
              <w:t>Наименование</w:t>
            </w:r>
          </w:p>
        </w:tc>
        <w:tc>
          <w:tcPr>
            <w:tcW w:w="2268" w:type="dxa"/>
            <w:tcBorders>
              <w:top w:val="single" w:sz="4" w:space="0" w:color="000000"/>
              <w:bottom w:val="single" w:sz="4" w:space="0" w:color="000000"/>
              <w:right w:val="single" w:sz="4" w:space="0" w:color="000000"/>
            </w:tcBorders>
            <w:shd w:color="auto" w:fill="auto" w:val="clear"/>
            <w:vAlign w:val="bottom"/>
          </w:tcPr>
          <w:p>
            <w:pPr>
              <w:pStyle w:val="Normal"/>
              <w:rPr>
                <w:color w:val="000000"/>
                <w:sz w:val="28"/>
                <w:szCs w:val="28"/>
              </w:rPr>
            </w:pPr>
            <w:r>
              <w:rPr>
                <w:color w:val="000000"/>
                <w:sz w:val="28"/>
                <w:szCs w:val="28"/>
              </w:rPr>
              <w:t>Сумма задолженности</w:t>
            </w:r>
          </w:p>
        </w:tc>
        <w:tc>
          <w:tcPr>
            <w:tcW w:w="2551" w:type="dxa"/>
            <w:tcBorders>
              <w:top w:val="single" w:sz="4" w:space="0" w:color="000000"/>
              <w:bottom w:val="single" w:sz="4" w:space="0" w:color="000000"/>
              <w:right w:val="single" w:sz="4" w:space="0" w:color="000000"/>
            </w:tcBorders>
            <w:shd w:color="auto" w:fill="auto" w:val="clear"/>
            <w:vAlign w:val="bottom"/>
          </w:tcPr>
          <w:p>
            <w:pPr>
              <w:pStyle w:val="Normal"/>
              <w:rPr>
                <w:color w:val="000000"/>
                <w:sz w:val="28"/>
                <w:szCs w:val="28"/>
              </w:rPr>
            </w:pPr>
            <w:r>
              <w:rPr>
                <w:color w:val="000000"/>
                <w:sz w:val="28"/>
                <w:szCs w:val="28"/>
              </w:rPr>
              <w:t>Дата последнего платежа</w:t>
            </w:r>
          </w:p>
        </w:tc>
      </w:tr>
      <w:tr>
        <w:trPr>
          <w:trHeight w:val="375" w:hRule="atLeast"/>
        </w:trPr>
        <w:tc>
          <w:tcPr>
            <w:tcW w:w="859" w:type="dxa"/>
            <w:tcBorders>
              <w:left w:val="single" w:sz="4" w:space="0" w:color="000000"/>
              <w:bottom w:val="single" w:sz="4" w:space="0" w:color="000000"/>
              <w:right w:val="single" w:sz="4" w:space="0" w:color="000000"/>
            </w:tcBorders>
            <w:shd w:color="auto" w:fill="auto" w:val="clear"/>
            <w:vAlign w:val="bottom"/>
          </w:tcPr>
          <w:p>
            <w:pPr>
              <w:pStyle w:val="Normal"/>
              <w:jc w:val="right"/>
              <w:rPr>
                <w:color w:val="000000"/>
                <w:sz w:val="28"/>
                <w:szCs w:val="28"/>
              </w:rPr>
            </w:pPr>
            <w:r>
              <w:rPr>
                <w:color w:val="000000"/>
                <w:sz w:val="28"/>
                <w:szCs w:val="28"/>
              </w:rPr>
              <w:t>1</w:t>
            </w:r>
          </w:p>
        </w:tc>
        <w:tc>
          <w:tcPr>
            <w:tcW w:w="3408" w:type="dxa"/>
            <w:tcBorders>
              <w:bottom w:val="single" w:sz="4" w:space="0" w:color="000000"/>
              <w:right w:val="single" w:sz="4" w:space="0" w:color="000000"/>
            </w:tcBorders>
            <w:shd w:color="auto" w:fill="auto" w:val="clear"/>
            <w:vAlign w:val="bottom"/>
          </w:tcPr>
          <w:p>
            <w:pPr>
              <w:pStyle w:val="Normal"/>
              <w:rPr>
                <w:color w:val="000000"/>
                <w:sz w:val="28"/>
                <w:szCs w:val="28"/>
              </w:rPr>
            </w:pPr>
            <w:r>
              <w:rPr>
                <w:color w:val="000000"/>
                <w:sz w:val="28"/>
                <w:szCs w:val="28"/>
              </w:rPr>
              <w:t>Физические лица</w:t>
            </w:r>
          </w:p>
        </w:tc>
        <w:tc>
          <w:tcPr>
            <w:tcW w:w="2268" w:type="dxa"/>
            <w:tcBorders>
              <w:bottom w:val="single" w:sz="4" w:space="0" w:color="000000"/>
              <w:right w:val="single" w:sz="4" w:space="0" w:color="000000"/>
            </w:tcBorders>
            <w:shd w:color="auto" w:fill="auto" w:val="clear"/>
            <w:vAlign w:val="bottom"/>
          </w:tcPr>
          <w:p>
            <w:pPr>
              <w:pStyle w:val="Normal"/>
              <w:jc w:val="right"/>
              <w:rPr>
                <w:color w:val="000000"/>
                <w:sz w:val="28"/>
                <w:szCs w:val="28"/>
              </w:rPr>
            </w:pPr>
            <w:r>
              <w:rPr>
                <w:color w:val="000000"/>
                <w:sz w:val="28"/>
                <w:szCs w:val="28"/>
              </w:rPr>
              <w:t>2 075 079,57</w:t>
            </w:r>
          </w:p>
        </w:tc>
        <w:tc>
          <w:tcPr>
            <w:tcW w:w="2551" w:type="dxa"/>
            <w:tcBorders>
              <w:bottom w:val="single" w:sz="4" w:space="0" w:color="000000"/>
              <w:right w:val="single" w:sz="4" w:space="0" w:color="000000"/>
            </w:tcBorders>
            <w:shd w:color="auto" w:fill="auto" w:val="clear"/>
            <w:vAlign w:val="bottom"/>
          </w:tcPr>
          <w:p>
            <w:pPr>
              <w:pStyle w:val="Normal"/>
              <w:jc w:val="right"/>
              <w:rPr>
                <w:color w:val="000000"/>
                <w:sz w:val="28"/>
                <w:szCs w:val="28"/>
              </w:rPr>
            </w:pPr>
            <w:r>
              <w:rPr>
                <w:color w:val="000000"/>
                <w:sz w:val="28"/>
                <w:szCs w:val="28"/>
              </w:rPr>
              <w:t>31.12.2016</w:t>
            </w:r>
          </w:p>
        </w:tc>
      </w:tr>
      <w:tr>
        <w:trPr>
          <w:trHeight w:val="375" w:hRule="atLeast"/>
        </w:trPr>
        <w:tc>
          <w:tcPr>
            <w:tcW w:w="859" w:type="dxa"/>
            <w:tcBorders>
              <w:left w:val="single" w:sz="4" w:space="0" w:color="000000"/>
              <w:bottom w:val="single" w:sz="4" w:space="0" w:color="000000"/>
              <w:right w:val="single" w:sz="4" w:space="0" w:color="000000"/>
            </w:tcBorders>
            <w:shd w:color="auto" w:fill="auto" w:val="clear"/>
            <w:vAlign w:val="bottom"/>
          </w:tcPr>
          <w:p>
            <w:pPr>
              <w:pStyle w:val="Normal"/>
              <w:jc w:val="right"/>
              <w:rPr>
                <w:color w:val="000000"/>
                <w:sz w:val="28"/>
                <w:szCs w:val="28"/>
              </w:rPr>
            </w:pPr>
            <w:r>
              <w:rPr>
                <w:color w:val="000000"/>
                <w:sz w:val="28"/>
                <w:szCs w:val="28"/>
              </w:rPr>
              <w:t>2</w:t>
            </w:r>
          </w:p>
        </w:tc>
        <w:tc>
          <w:tcPr>
            <w:tcW w:w="3408" w:type="dxa"/>
            <w:tcBorders>
              <w:bottom w:val="single" w:sz="4" w:space="0" w:color="000000"/>
              <w:right w:val="single" w:sz="4" w:space="0" w:color="000000"/>
            </w:tcBorders>
            <w:shd w:color="auto" w:fill="auto" w:val="clear"/>
            <w:vAlign w:val="bottom"/>
          </w:tcPr>
          <w:p>
            <w:pPr>
              <w:pStyle w:val="Normal"/>
              <w:rPr>
                <w:color w:val="000000"/>
                <w:sz w:val="28"/>
                <w:szCs w:val="28"/>
              </w:rPr>
            </w:pPr>
            <w:r>
              <w:rPr>
                <w:color w:val="000000"/>
                <w:sz w:val="28"/>
                <w:szCs w:val="28"/>
              </w:rPr>
              <w:t>Юридические лица</w:t>
            </w:r>
          </w:p>
        </w:tc>
        <w:tc>
          <w:tcPr>
            <w:tcW w:w="2268" w:type="dxa"/>
            <w:tcBorders>
              <w:bottom w:val="single" w:sz="4" w:space="0" w:color="000000"/>
              <w:right w:val="single" w:sz="4" w:space="0" w:color="000000"/>
            </w:tcBorders>
            <w:shd w:color="auto" w:fill="auto" w:val="clear"/>
            <w:vAlign w:val="bottom"/>
          </w:tcPr>
          <w:p>
            <w:pPr>
              <w:pStyle w:val="Normal"/>
              <w:jc w:val="right"/>
              <w:rPr>
                <w:color w:val="000000"/>
                <w:sz w:val="28"/>
                <w:szCs w:val="28"/>
              </w:rPr>
            </w:pPr>
            <w:r>
              <w:rPr>
                <w:color w:val="000000"/>
                <w:sz w:val="28"/>
                <w:szCs w:val="28"/>
              </w:rPr>
              <w:t>1 638 896,9</w:t>
            </w:r>
          </w:p>
        </w:tc>
        <w:tc>
          <w:tcPr>
            <w:tcW w:w="2551" w:type="dxa"/>
            <w:tcBorders>
              <w:bottom w:val="single" w:sz="4" w:space="0" w:color="000000"/>
              <w:right w:val="single" w:sz="4" w:space="0" w:color="000000"/>
            </w:tcBorders>
            <w:shd w:color="auto" w:fill="auto" w:val="clear"/>
            <w:vAlign w:val="bottom"/>
          </w:tcPr>
          <w:p>
            <w:pPr>
              <w:pStyle w:val="Normal"/>
              <w:jc w:val="right"/>
              <w:rPr>
                <w:color w:val="000000"/>
                <w:sz w:val="28"/>
                <w:szCs w:val="28"/>
              </w:rPr>
            </w:pPr>
            <w:r>
              <w:rPr>
                <w:color w:val="000000"/>
                <w:sz w:val="28"/>
                <w:szCs w:val="28"/>
              </w:rPr>
              <w:t>31.12.2016</w:t>
            </w:r>
          </w:p>
        </w:tc>
      </w:tr>
      <w:tr>
        <w:trPr>
          <w:trHeight w:val="375" w:hRule="atLeast"/>
        </w:trPr>
        <w:tc>
          <w:tcPr>
            <w:tcW w:w="859" w:type="dxa"/>
            <w:tcBorders>
              <w:left w:val="single" w:sz="4" w:space="0" w:color="000000"/>
              <w:bottom w:val="single" w:sz="4" w:space="0" w:color="000000"/>
              <w:right w:val="single" w:sz="4" w:space="0" w:color="000000"/>
            </w:tcBorders>
            <w:shd w:color="auto" w:fill="auto" w:val="clear"/>
            <w:vAlign w:val="bottom"/>
          </w:tcPr>
          <w:p>
            <w:pPr>
              <w:pStyle w:val="Normal"/>
              <w:rPr>
                <w:color w:val="000000"/>
                <w:sz w:val="28"/>
                <w:szCs w:val="28"/>
              </w:rPr>
            </w:pPr>
            <w:r>
              <w:rPr>
                <w:color w:val="000000"/>
                <w:sz w:val="28"/>
                <w:szCs w:val="28"/>
              </w:rPr>
              <w:t> </w:t>
            </w:r>
          </w:p>
        </w:tc>
        <w:tc>
          <w:tcPr>
            <w:tcW w:w="3408" w:type="dxa"/>
            <w:tcBorders>
              <w:bottom w:val="single" w:sz="4" w:space="0" w:color="000000"/>
              <w:right w:val="single" w:sz="4" w:space="0" w:color="000000"/>
            </w:tcBorders>
            <w:shd w:color="auto" w:fill="auto" w:val="clear"/>
            <w:vAlign w:val="bottom"/>
          </w:tcPr>
          <w:p>
            <w:pPr>
              <w:pStyle w:val="Normal"/>
              <w:rPr>
                <w:color w:val="000000"/>
                <w:sz w:val="28"/>
                <w:szCs w:val="28"/>
              </w:rPr>
            </w:pPr>
            <w:r>
              <w:rPr>
                <w:color w:val="000000"/>
                <w:sz w:val="28"/>
                <w:szCs w:val="28"/>
              </w:rPr>
              <w:t>Итого:</w:t>
            </w:r>
          </w:p>
        </w:tc>
        <w:tc>
          <w:tcPr>
            <w:tcW w:w="2268" w:type="dxa"/>
            <w:tcBorders>
              <w:bottom w:val="single" w:sz="4" w:space="0" w:color="000000"/>
              <w:right w:val="single" w:sz="4" w:space="0" w:color="000000"/>
            </w:tcBorders>
            <w:shd w:color="auto" w:fill="auto" w:val="clear"/>
            <w:vAlign w:val="bottom"/>
          </w:tcPr>
          <w:p>
            <w:pPr>
              <w:pStyle w:val="Normal"/>
              <w:jc w:val="right"/>
              <w:rPr>
                <w:color w:val="000000"/>
                <w:sz w:val="28"/>
                <w:szCs w:val="28"/>
              </w:rPr>
            </w:pPr>
            <w:r>
              <w:rPr>
                <w:color w:val="000000"/>
                <w:sz w:val="28"/>
                <w:szCs w:val="28"/>
              </w:rPr>
              <w:t>3 713 976,47</w:t>
            </w:r>
          </w:p>
        </w:tc>
        <w:tc>
          <w:tcPr>
            <w:tcW w:w="2551" w:type="dxa"/>
            <w:tcBorders>
              <w:bottom w:val="single" w:sz="4" w:space="0" w:color="000000"/>
              <w:right w:val="single" w:sz="4" w:space="0" w:color="000000"/>
            </w:tcBorders>
            <w:shd w:color="auto" w:fill="auto" w:val="clear"/>
            <w:vAlign w:val="bottom"/>
          </w:tcPr>
          <w:p>
            <w:pPr>
              <w:pStyle w:val="Normal"/>
              <w:rPr>
                <w:color w:val="000000"/>
                <w:sz w:val="28"/>
                <w:szCs w:val="28"/>
              </w:rPr>
            </w:pPr>
            <w:r>
              <w:rPr>
                <w:color w:val="000000"/>
                <w:sz w:val="28"/>
                <w:szCs w:val="28"/>
              </w:rPr>
              <w:t> </w:t>
            </w:r>
          </w:p>
        </w:tc>
      </w:tr>
    </w:tbl>
    <w:p>
      <w:pPr>
        <w:pStyle w:val="Normal"/>
        <w:ind w:firstLine="708"/>
        <w:jc w:val="both"/>
        <w:rPr>
          <w:rFonts w:eastAsia="Calibri" w:eastAsiaTheme="minorHAnsi"/>
          <w:sz w:val="28"/>
          <w:szCs w:val="28"/>
          <w:lang w:eastAsia="en-US"/>
        </w:rPr>
      </w:pPr>
      <w:r>
        <w:rPr>
          <w:rFonts w:eastAsia="Calibri" w:eastAsiaTheme="minorHAnsi"/>
          <w:sz w:val="28"/>
          <w:szCs w:val="28"/>
          <w:lang w:eastAsia="en-US"/>
        </w:rPr>
      </w:r>
    </w:p>
    <w:p>
      <w:pPr>
        <w:pStyle w:val="Normal"/>
        <w:tabs>
          <w:tab w:val="clear" w:pos="708"/>
          <w:tab w:val="left" w:pos="993" w:leader="none"/>
        </w:tabs>
        <w:jc w:val="center"/>
        <w:rPr>
          <w:rFonts w:eastAsia="Calibri" w:eastAsiaTheme="minorHAnsi"/>
          <w:b/>
          <w:b/>
          <w:i/>
          <w:i/>
          <w:sz w:val="28"/>
          <w:szCs w:val="28"/>
          <w:lang w:eastAsia="en-US"/>
        </w:rPr>
      </w:pPr>
      <w:r>
        <w:rPr>
          <w:rFonts w:eastAsia="Calibri" w:eastAsiaTheme="minorHAnsi"/>
          <w:b/>
          <w:i/>
          <w:sz w:val="28"/>
          <w:szCs w:val="28"/>
          <w:lang w:eastAsia="en-US"/>
        </w:rPr>
      </w:r>
    </w:p>
    <w:p>
      <w:pPr>
        <w:pStyle w:val="Normal"/>
        <w:tabs>
          <w:tab w:val="clear" w:pos="708"/>
          <w:tab w:val="left" w:pos="993" w:leader="none"/>
        </w:tabs>
        <w:jc w:val="center"/>
        <w:rPr>
          <w:rFonts w:eastAsia="Calibri" w:eastAsiaTheme="minorHAnsi"/>
          <w:b/>
          <w:b/>
          <w:i/>
          <w:i/>
          <w:sz w:val="28"/>
          <w:szCs w:val="28"/>
          <w:lang w:eastAsia="en-US"/>
        </w:rPr>
      </w:pPr>
      <w:r>
        <w:rPr>
          <w:rFonts w:eastAsia="Calibri" w:eastAsiaTheme="minorHAnsi"/>
          <w:b/>
          <w:i/>
          <w:sz w:val="28"/>
          <w:szCs w:val="28"/>
          <w:lang w:eastAsia="en-US"/>
        </w:rPr>
      </w:r>
    </w:p>
    <w:p>
      <w:pPr>
        <w:pStyle w:val="Normal"/>
        <w:tabs>
          <w:tab w:val="clear" w:pos="708"/>
          <w:tab w:val="left" w:pos="993" w:leader="none"/>
        </w:tabs>
        <w:jc w:val="center"/>
        <w:rPr>
          <w:rFonts w:eastAsia="Calibri" w:eastAsiaTheme="minorHAnsi"/>
          <w:b/>
          <w:b/>
          <w:i/>
          <w:i/>
          <w:sz w:val="28"/>
          <w:szCs w:val="28"/>
          <w:lang w:eastAsia="en-US"/>
        </w:rPr>
      </w:pPr>
      <w:r>
        <w:rPr>
          <w:rFonts w:eastAsia="Calibri" w:eastAsiaTheme="minorHAnsi"/>
          <w:b/>
          <w:i/>
          <w:sz w:val="28"/>
          <w:szCs w:val="28"/>
          <w:lang w:eastAsia="en-US"/>
        </w:rPr>
        <w:t>Контрольно - счетной комиссией выявлены и другие нарушения земельного законодательства:</w:t>
      </w:r>
    </w:p>
    <w:p>
      <w:pPr>
        <w:pStyle w:val="Normal"/>
        <w:ind w:firstLine="708"/>
        <w:jc w:val="both"/>
        <w:rPr>
          <w:rFonts w:eastAsia="Calibri" w:eastAsiaTheme="minorHAnsi"/>
          <w:sz w:val="28"/>
          <w:szCs w:val="28"/>
          <w:lang w:eastAsia="en-US"/>
        </w:rPr>
      </w:pPr>
      <w:r>
        <w:rPr>
          <w:rFonts w:eastAsia="Calibri" w:eastAsiaTheme="minorHAnsi"/>
          <w:sz w:val="28"/>
          <w:szCs w:val="28"/>
          <w:lang w:eastAsia="en-US"/>
        </w:rPr>
      </w:r>
    </w:p>
    <w:p>
      <w:pPr>
        <w:pStyle w:val="Normal"/>
        <w:ind w:firstLine="708"/>
        <w:jc w:val="both"/>
        <w:rPr/>
      </w:pPr>
      <w:r>
        <w:rPr>
          <w:rFonts w:eastAsia="Calibri" w:eastAsiaTheme="minorHAnsi"/>
          <w:sz w:val="28"/>
          <w:szCs w:val="28"/>
          <w:lang w:eastAsia="en-US"/>
        </w:rPr>
        <w:t>В соответствии с п</w:t>
      </w:r>
      <w:r>
        <w:rPr>
          <w:sz w:val="28"/>
          <w:szCs w:val="28"/>
        </w:rPr>
        <w:t>.2 ст.7 Земельного кодекса з</w:t>
      </w:r>
      <w:r>
        <w:rPr>
          <w:rFonts w:eastAsia="Calibri" w:eastAsiaTheme="minorHAnsi"/>
          <w:sz w:val="28"/>
          <w:szCs w:val="28"/>
          <w:lang w:eastAsia="en-US"/>
        </w:rPr>
        <w:t xml:space="preserve">емли используются               в соответствии с установленным для них целевым назначением. Правовой режим земель определяется исходя из их принадлежности к той или иной категории и разрешенного использования в соответствии с зонированием территорий, общие принципы и порядок проведения которого устанавливаются федеральными </w:t>
      </w:r>
      <w:hyperlink r:id="rId2">
        <w:r>
          <w:rPr>
            <w:rStyle w:val="ListLabel25"/>
            <w:rFonts w:eastAsia="Calibri" w:eastAsiaTheme="minorHAnsi"/>
            <w:sz w:val="28"/>
            <w:szCs w:val="28"/>
            <w:lang w:eastAsia="en-US"/>
          </w:rPr>
          <w:t>законами</w:t>
        </w:r>
      </w:hyperlink>
      <w:r>
        <w:rPr>
          <w:rFonts w:eastAsia="Calibri" w:eastAsiaTheme="minorHAnsi"/>
          <w:sz w:val="28"/>
          <w:szCs w:val="28"/>
          <w:lang w:eastAsia="en-US"/>
        </w:rPr>
        <w:t xml:space="preserve"> и требованиями специальных федеральных законов.</w:t>
      </w:r>
    </w:p>
    <w:p>
      <w:pPr>
        <w:pStyle w:val="Normal"/>
        <w:ind w:firstLine="708"/>
        <w:jc w:val="both"/>
        <w:rPr>
          <w:sz w:val="28"/>
          <w:szCs w:val="28"/>
        </w:rPr>
      </w:pPr>
      <w:r>
        <w:rPr>
          <w:sz w:val="28"/>
          <w:szCs w:val="28"/>
        </w:rPr>
        <w:t>Решением Канского городского Совета депутатов Красноярского края            от 21.10.2010 № 9-45 утверждены Правила землепользования и застройки муниципального образования город Канск, которыми утверждены виды разрешенного использования земельных участков, используемые                                     на городских землях.</w:t>
      </w:r>
    </w:p>
    <w:p>
      <w:pPr>
        <w:pStyle w:val="Normal"/>
        <w:ind w:firstLine="708"/>
        <w:jc w:val="both"/>
        <w:rPr>
          <w:sz w:val="28"/>
          <w:szCs w:val="28"/>
        </w:rPr>
      </w:pPr>
      <w:r>
        <w:rPr>
          <w:sz w:val="28"/>
          <w:szCs w:val="28"/>
        </w:rPr>
        <w:t>Нарушений по вышеуказанным нормативным правовым актам отсутствуют, КУМИ предоставляет в аренду земельные участки с видом разрешенного использования.</w:t>
      </w:r>
    </w:p>
    <w:p>
      <w:pPr>
        <w:pStyle w:val="Normal"/>
        <w:ind w:firstLine="708"/>
        <w:jc w:val="both"/>
        <w:rPr>
          <w:sz w:val="28"/>
          <w:szCs w:val="28"/>
        </w:rPr>
      </w:pPr>
      <w:r>
        <w:rPr>
          <w:sz w:val="28"/>
          <w:szCs w:val="28"/>
        </w:rPr>
        <w:t>В соответствии со статьей 38 Градостроительного кодекса Российской Федерации должны быть определены предельные (минимальные и (или) максимальные размеры земельных участков в Решением Канского городского Совета депутатов Красноярского края от 21.10.2010 № 9-45 утверждены Правила землепользования и застройки муниципального образования город Канск не отражены в 2017 году, изменение были внесены 21.03.2018 № 26-140.</w:t>
      </w:r>
    </w:p>
    <w:p>
      <w:pPr>
        <w:pStyle w:val="Normal"/>
        <w:ind w:firstLine="708"/>
        <w:jc w:val="both"/>
        <w:rPr>
          <w:rFonts w:eastAsia="Calibri" w:eastAsiaTheme="minorHAnsi"/>
          <w:sz w:val="28"/>
          <w:szCs w:val="28"/>
          <w:lang w:eastAsia="en-US"/>
        </w:rPr>
      </w:pPr>
      <w:r>
        <w:rPr>
          <w:rFonts w:eastAsia="Calibri" w:eastAsiaTheme="minorHAnsi"/>
          <w:sz w:val="28"/>
          <w:szCs w:val="28"/>
          <w:lang w:eastAsia="en-US"/>
        </w:rPr>
        <w:t>Контрольно-счетной комиссией в период проверки выявлены арендаторы, которые находится в стадии банкротства, либо прекратили деятельность юридического лица при наличии задолженности по арендной плате:</w:t>
      </w:r>
    </w:p>
    <w:p>
      <w:pPr>
        <w:pStyle w:val="Normal"/>
        <w:ind w:firstLine="708"/>
        <w:jc w:val="right"/>
        <w:rPr>
          <w:rFonts w:eastAsia="Calibri" w:eastAsiaTheme="minorHAnsi"/>
          <w:lang w:eastAsia="en-US"/>
        </w:rPr>
      </w:pPr>
      <w:r>
        <w:rPr>
          <w:rFonts w:eastAsia="Calibri" w:eastAsiaTheme="minorHAnsi"/>
          <w:lang w:eastAsia="en-US"/>
        </w:rPr>
        <w:t>(таблица 6)</w:t>
      </w:r>
    </w:p>
    <w:tbl>
      <w:tblPr>
        <w:tblW w:w="9371" w:type="dxa"/>
        <w:jc w:val="left"/>
        <w:tblInd w:w="93" w:type="dxa"/>
        <w:tblCellMar>
          <w:top w:w="0" w:type="dxa"/>
          <w:left w:w="108" w:type="dxa"/>
          <w:bottom w:w="0" w:type="dxa"/>
          <w:right w:w="108" w:type="dxa"/>
        </w:tblCellMar>
        <w:tblLook w:firstRow="1" w:noVBand="1" w:lastRow="0" w:firstColumn="1" w:lastColumn="0" w:noHBand="0" w:val="04a0"/>
      </w:tblPr>
      <w:tblGrid>
        <w:gridCol w:w="593"/>
        <w:gridCol w:w="3191"/>
        <w:gridCol w:w="2026"/>
        <w:gridCol w:w="3560"/>
      </w:tblGrid>
      <w:tr>
        <w:trPr>
          <w:trHeight w:val="803" w:hRule="atLeast"/>
        </w:trPr>
        <w:tc>
          <w:tcPr>
            <w:tcW w:w="59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 xml:space="preserve">№ </w:t>
            </w:r>
            <w:r>
              <w:rPr>
                <w:color w:val="000000"/>
                <w:sz w:val="28"/>
                <w:szCs w:val="28"/>
              </w:rPr>
              <w:t>п/п</w:t>
            </w:r>
          </w:p>
        </w:tc>
        <w:tc>
          <w:tcPr>
            <w:tcW w:w="3191" w:type="dxa"/>
            <w:tcBorders>
              <w:top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Арендатор</w:t>
            </w:r>
          </w:p>
        </w:tc>
        <w:tc>
          <w:tcPr>
            <w:tcW w:w="2026" w:type="dxa"/>
            <w:tcBorders>
              <w:top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Сумма задолженности</w:t>
            </w:r>
          </w:p>
        </w:tc>
        <w:tc>
          <w:tcPr>
            <w:tcW w:w="3560" w:type="dxa"/>
            <w:tcBorders>
              <w:top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Дата окончания деятельности</w:t>
            </w:r>
          </w:p>
        </w:tc>
      </w:tr>
      <w:tr>
        <w:trPr>
          <w:trHeight w:val="984" w:hRule="atLeast"/>
        </w:trPr>
        <w:tc>
          <w:tcPr>
            <w:tcW w:w="593" w:type="dxa"/>
            <w:tcBorders>
              <w:left w:val="single" w:sz="4" w:space="0" w:color="000000"/>
              <w:bottom w:val="single" w:sz="4" w:space="0" w:color="000000"/>
              <w:right w:val="single" w:sz="4" w:space="0" w:color="000000"/>
            </w:tcBorders>
            <w:shd w:color="auto" w:fill="auto" w:val="clear"/>
          </w:tcPr>
          <w:p>
            <w:pPr>
              <w:pStyle w:val="Normal"/>
              <w:jc w:val="right"/>
              <w:rPr>
                <w:color w:val="000000"/>
                <w:sz w:val="28"/>
                <w:szCs w:val="28"/>
              </w:rPr>
            </w:pPr>
            <w:r>
              <w:rPr>
                <w:color w:val="000000"/>
                <w:sz w:val="28"/>
                <w:szCs w:val="28"/>
              </w:rPr>
              <w:t>1</w:t>
            </w:r>
          </w:p>
        </w:tc>
        <w:tc>
          <w:tcPr>
            <w:tcW w:w="3191" w:type="dxa"/>
            <w:tcBorders>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 xml:space="preserve">ЗАО «Мостостроительный отряд» </w:t>
            </w:r>
          </w:p>
        </w:tc>
        <w:tc>
          <w:tcPr>
            <w:tcW w:w="2026" w:type="dxa"/>
            <w:tcBorders>
              <w:bottom w:val="single" w:sz="4" w:space="0" w:color="000000"/>
              <w:right w:val="single" w:sz="4" w:space="0" w:color="000000"/>
            </w:tcBorders>
            <w:shd w:color="auto" w:fill="auto" w:val="clear"/>
          </w:tcPr>
          <w:p>
            <w:pPr>
              <w:pStyle w:val="Normal"/>
              <w:jc w:val="right"/>
              <w:rPr>
                <w:color w:val="000000"/>
                <w:sz w:val="28"/>
                <w:szCs w:val="28"/>
              </w:rPr>
            </w:pPr>
            <w:r>
              <w:rPr>
                <w:color w:val="000000"/>
                <w:sz w:val="28"/>
                <w:szCs w:val="28"/>
              </w:rPr>
              <w:t>3 361 260,29</w:t>
            </w:r>
          </w:p>
        </w:tc>
        <w:tc>
          <w:tcPr>
            <w:tcW w:w="3560" w:type="dxa"/>
            <w:tcBorders>
              <w:bottom w:val="single" w:sz="4" w:space="0" w:color="000000"/>
              <w:right w:val="single" w:sz="4" w:space="0" w:color="000000"/>
            </w:tcBorders>
            <w:shd w:color="auto" w:fill="auto" w:val="clear"/>
          </w:tcPr>
          <w:p>
            <w:pPr>
              <w:pStyle w:val="Normal"/>
              <w:jc w:val="right"/>
              <w:rPr>
                <w:color w:val="000000"/>
                <w:sz w:val="28"/>
                <w:szCs w:val="28"/>
              </w:rPr>
            </w:pPr>
            <w:r>
              <w:rPr>
                <w:color w:val="000000"/>
                <w:sz w:val="28"/>
                <w:szCs w:val="28"/>
              </w:rPr>
              <w:t>в стадии ликвидации с 13.03.2014</w:t>
            </w:r>
          </w:p>
        </w:tc>
      </w:tr>
      <w:tr>
        <w:trPr>
          <w:trHeight w:val="701" w:hRule="atLeast"/>
        </w:trPr>
        <w:tc>
          <w:tcPr>
            <w:tcW w:w="593" w:type="dxa"/>
            <w:tcBorders>
              <w:left w:val="single" w:sz="4" w:space="0" w:color="000000"/>
              <w:bottom w:val="single" w:sz="4" w:space="0" w:color="000000"/>
              <w:right w:val="single" w:sz="4" w:space="0" w:color="000000"/>
            </w:tcBorders>
            <w:shd w:color="auto" w:fill="auto" w:val="clear"/>
          </w:tcPr>
          <w:p>
            <w:pPr>
              <w:pStyle w:val="Normal"/>
              <w:jc w:val="right"/>
              <w:rPr>
                <w:color w:val="000000"/>
                <w:sz w:val="28"/>
                <w:szCs w:val="28"/>
              </w:rPr>
            </w:pPr>
            <w:r>
              <w:rPr>
                <w:color w:val="000000"/>
                <w:sz w:val="28"/>
                <w:szCs w:val="28"/>
              </w:rPr>
              <w:t>2</w:t>
            </w:r>
          </w:p>
        </w:tc>
        <w:tc>
          <w:tcPr>
            <w:tcW w:w="3191" w:type="dxa"/>
            <w:tcBorders>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ООО «Вектор»</w:t>
            </w:r>
          </w:p>
        </w:tc>
        <w:tc>
          <w:tcPr>
            <w:tcW w:w="2026" w:type="dxa"/>
            <w:tcBorders>
              <w:bottom w:val="single" w:sz="4" w:space="0" w:color="000000"/>
              <w:right w:val="single" w:sz="4" w:space="0" w:color="000000"/>
            </w:tcBorders>
            <w:shd w:color="auto" w:fill="auto" w:val="clear"/>
          </w:tcPr>
          <w:p>
            <w:pPr>
              <w:pStyle w:val="Normal"/>
              <w:jc w:val="right"/>
              <w:rPr>
                <w:color w:val="000000"/>
                <w:sz w:val="28"/>
                <w:szCs w:val="28"/>
              </w:rPr>
            </w:pPr>
            <w:r>
              <w:rPr>
                <w:color w:val="000000"/>
                <w:sz w:val="28"/>
                <w:szCs w:val="28"/>
              </w:rPr>
              <w:t>1 866 219,3</w:t>
            </w:r>
          </w:p>
        </w:tc>
        <w:tc>
          <w:tcPr>
            <w:tcW w:w="3560" w:type="dxa"/>
            <w:tcBorders>
              <w:bottom w:val="single" w:sz="4" w:space="0" w:color="000000"/>
              <w:right w:val="single" w:sz="4" w:space="0" w:color="000000"/>
            </w:tcBorders>
            <w:shd w:color="auto" w:fill="auto" w:val="clear"/>
          </w:tcPr>
          <w:p>
            <w:pPr>
              <w:pStyle w:val="Normal"/>
              <w:jc w:val="right"/>
              <w:rPr>
                <w:color w:val="000000"/>
                <w:sz w:val="28"/>
                <w:szCs w:val="28"/>
              </w:rPr>
            </w:pPr>
            <w:r>
              <w:rPr>
                <w:color w:val="000000"/>
                <w:sz w:val="28"/>
                <w:szCs w:val="28"/>
              </w:rPr>
              <w:t>в стадии ликвидации с 21.10.2015</w:t>
            </w:r>
          </w:p>
        </w:tc>
      </w:tr>
      <w:tr>
        <w:trPr>
          <w:trHeight w:val="572" w:hRule="atLeast"/>
        </w:trPr>
        <w:tc>
          <w:tcPr>
            <w:tcW w:w="593" w:type="dxa"/>
            <w:tcBorders>
              <w:left w:val="single" w:sz="4" w:space="0" w:color="000000"/>
              <w:bottom w:val="single" w:sz="4" w:space="0" w:color="000000"/>
              <w:right w:val="single" w:sz="4" w:space="0" w:color="000000"/>
            </w:tcBorders>
            <w:shd w:color="auto" w:fill="auto" w:val="clear"/>
          </w:tcPr>
          <w:p>
            <w:pPr>
              <w:pStyle w:val="Normal"/>
              <w:jc w:val="right"/>
              <w:rPr>
                <w:color w:val="000000"/>
                <w:sz w:val="28"/>
                <w:szCs w:val="28"/>
              </w:rPr>
            </w:pPr>
            <w:r>
              <w:rPr>
                <w:color w:val="000000"/>
                <w:sz w:val="28"/>
                <w:szCs w:val="28"/>
              </w:rPr>
              <w:t>3</w:t>
            </w:r>
          </w:p>
        </w:tc>
        <w:tc>
          <w:tcPr>
            <w:tcW w:w="3191" w:type="dxa"/>
            <w:tcBorders>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 xml:space="preserve">ЗАО «Мостострой-9» </w:t>
            </w:r>
          </w:p>
        </w:tc>
        <w:tc>
          <w:tcPr>
            <w:tcW w:w="2026" w:type="dxa"/>
            <w:tcBorders>
              <w:bottom w:val="single" w:sz="4" w:space="0" w:color="000000"/>
              <w:right w:val="single" w:sz="4" w:space="0" w:color="000000"/>
            </w:tcBorders>
            <w:shd w:color="auto" w:fill="auto" w:val="clear"/>
          </w:tcPr>
          <w:p>
            <w:pPr>
              <w:pStyle w:val="Normal"/>
              <w:jc w:val="right"/>
              <w:rPr>
                <w:color w:val="000000"/>
                <w:sz w:val="28"/>
                <w:szCs w:val="28"/>
              </w:rPr>
            </w:pPr>
            <w:r>
              <w:rPr>
                <w:color w:val="000000"/>
                <w:sz w:val="28"/>
                <w:szCs w:val="28"/>
              </w:rPr>
              <w:t>992 081,29</w:t>
            </w:r>
          </w:p>
        </w:tc>
        <w:tc>
          <w:tcPr>
            <w:tcW w:w="3560" w:type="dxa"/>
            <w:tcBorders>
              <w:bottom w:val="single" w:sz="4" w:space="0" w:color="000000"/>
              <w:right w:val="single" w:sz="4" w:space="0" w:color="000000"/>
            </w:tcBorders>
            <w:shd w:color="auto" w:fill="auto" w:val="clear"/>
          </w:tcPr>
          <w:p>
            <w:pPr>
              <w:pStyle w:val="Normal"/>
              <w:jc w:val="right"/>
              <w:rPr>
                <w:color w:val="000000"/>
                <w:sz w:val="28"/>
                <w:szCs w:val="28"/>
              </w:rPr>
            </w:pPr>
            <w:r>
              <w:rPr>
                <w:color w:val="000000"/>
                <w:sz w:val="28"/>
                <w:szCs w:val="28"/>
              </w:rPr>
              <w:t>в стадии ликвидации с 25.12.2015</w:t>
            </w:r>
          </w:p>
        </w:tc>
      </w:tr>
      <w:tr>
        <w:trPr>
          <w:trHeight w:val="856" w:hRule="atLeast"/>
        </w:trPr>
        <w:tc>
          <w:tcPr>
            <w:tcW w:w="59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right"/>
              <w:rPr>
                <w:color w:val="000000"/>
                <w:sz w:val="28"/>
                <w:szCs w:val="28"/>
              </w:rPr>
            </w:pPr>
            <w:r>
              <w:rPr>
                <w:color w:val="000000"/>
                <w:sz w:val="28"/>
                <w:szCs w:val="28"/>
              </w:rPr>
              <w:t>4</w:t>
            </w:r>
          </w:p>
        </w:tc>
        <w:tc>
          <w:tcPr>
            <w:tcW w:w="3191" w:type="dxa"/>
            <w:tcBorders>
              <w:top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 xml:space="preserve">ООО «Студия эффективной рекламы» </w:t>
            </w:r>
          </w:p>
        </w:tc>
        <w:tc>
          <w:tcPr>
            <w:tcW w:w="2026" w:type="dxa"/>
            <w:tcBorders>
              <w:top w:val="single" w:sz="4" w:space="0" w:color="000000"/>
              <w:bottom w:val="single" w:sz="4" w:space="0" w:color="000000"/>
              <w:right w:val="single" w:sz="4" w:space="0" w:color="000000"/>
            </w:tcBorders>
            <w:shd w:color="auto" w:fill="auto" w:val="clear"/>
          </w:tcPr>
          <w:p>
            <w:pPr>
              <w:pStyle w:val="Normal"/>
              <w:jc w:val="right"/>
              <w:rPr>
                <w:color w:val="000000"/>
                <w:sz w:val="28"/>
                <w:szCs w:val="28"/>
              </w:rPr>
            </w:pPr>
            <w:r>
              <w:rPr>
                <w:color w:val="000000"/>
                <w:sz w:val="28"/>
                <w:szCs w:val="28"/>
              </w:rPr>
              <w:t>135 531,21</w:t>
            </w:r>
          </w:p>
        </w:tc>
        <w:tc>
          <w:tcPr>
            <w:tcW w:w="3560" w:type="dxa"/>
            <w:tcBorders>
              <w:top w:val="single" w:sz="4" w:space="0" w:color="000000"/>
              <w:bottom w:val="single" w:sz="4" w:space="0" w:color="000000"/>
              <w:right w:val="single" w:sz="4" w:space="0" w:color="000000"/>
            </w:tcBorders>
            <w:shd w:color="auto" w:fill="auto" w:val="clear"/>
          </w:tcPr>
          <w:p>
            <w:pPr>
              <w:pStyle w:val="Normal"/>
              <w:jc w:val="right"/>
              <w:rPr>
                <w:color w:val="000000"/>
                <w:sz w:val="28"/>
                <w:szCs w:val="28"/>
              </w:rPr>
            </w:pPr>
            <w:r>
              <w:rPr>
                <w:color w:val="000000"/>
                <w:sz w:val="28"/>
                <w:szCs w:val="28"/>
              </w:rPr>
              <w:t>Ликвидировано 15.05.2017</w:t>
            </w:r>
          </w:p>
        </w:tc>
      </w:tr>
      <w:tr>
        <w:trPr>
          <w:trHeight w:val="1610" w:hRule="atLeast"/>
        </w:trPr>
        <w:tc>
          <w:tcPr>
            <w:tcW w:w="59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right"/>
              <w:rPr>
                <w:color w:val="000000"/>
                <w:sz w:val="28"/>
                <w:szCs w:val="28"/>
              </w:rPr>
            </w:pPr>
            <w:r>
              <w:rPr>
                <w:color w:val="000000"/>
                <w:sz w:val="28"/>
                <w:szCs w:val="28"/>
              </w:rPr>
              <w:t>5</w:t>
            </w:r>
          </w:p>
        </w:tc>
        <w:tc>
          <w:tcPr>
            <w:tcW w:w="319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Муниципальное унитарное предприятие текущего содержания и санитарной очистки г. Канск</w:t>
            </w:r>
          </w:p>
        </w:tc>
        <w:tc>
          <w:tcPr>
            <w:tcW w:w="2026"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right"/>
              <w:rPr>
                <w:color w:val="000000"/>
                <w:sz w:val="28"/>
                <w:szCs w:val="28"/>
              </w:rPr>
            </w:pPr>
            <w:r>
              <w:rPr>
                <w:color w:val="000000"/>
                <w:sz w:val="28"/>
                <w:szCs w:val="28"/>
              </w:rPr>
              <w:t>1 212 997,25</w:t>
            </w:r>
          </w:p>
        </w:tc>
        <w:tc>
          <w:tcPr>
            <w:tcW w:w="356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right"/>
              <w:rPr>
                <w:color w:val="000000"/>
                <w:sz w:val="28"/>
                <w:szCs w:val="28"/>
              </w:rPr>
            </w:pPr>
            <w:r>
              <w:rPr>
                <w:color w:val="000000"/>
                <w:sz w:val="28"/>
                <w:szCs w:val="28"/>
              </w:rPr>
              <w:t>в стадии ликвидации с 13.04.2016</w:t>
            </w:r>
          </w:p>
        </w:tc>
      </w:tr>
      <w:tr>
        <w:trPr>
          <w:trHeight w:val="368" w:hRule="atLeast"/>
        </w:trPr>
        <w:tc>
          <w:tcPr>
            <w:tcW w:w="59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right"/>
              <w:rPr>
                <w:color w:val="000000"/>
                <w:sz w:val="28"/>
                <w:szCs w:val="28"/>
              </w:rPr>
            </w:pPr>
            <w:r>
              <w:rPr>
                <w:color w:val="000000"/>
                <w:sz w:val="28"/>
                <w:szCs w:val="28"/>
              </w:rPr>
              <w:t>6</w:t>
            </w:r>
          </w:p>
        </w:tc>
        <w:tc>
          <w:tcPr>
            <w:tcW w:w="3191" w:type="dxa"/>
            <w:tcBorders>
              <w:top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ООО «Гуанда»</w:t>
            </w:r>
          </w:p>
        </w:tc>
        <w:tc>
          <w:tcPr>
            <w:tcW w:w="2026" w:type="dxa"/>
            <w:tcBorders>
              <w:top w:val="single" w:sz="4" w:space="0" w:color="000000"/>
              <w:bottom w:val="single" w:sz="4" w:space="0" w:color="000000"/>
              <w:right w:val="single" w:sz="4" w:space="0" w:color="000000"/>
            </w:tcBorders>
            <w:shd w:color="auto" w:fill="auto" w:val="clear"/>
          </w:tcPr>
          <w:p>
            <w:pPr>
              <w:pStyle w:val="Normal"/>
              <w:jc w:val="right"/>
              <w:rPr>
                <w:color w:val="000000"/>
                <w:sz w:val="28"/>
                <w:szCs w:val="28"/>
              </w:rPr>
            </w:pPr>
            <w:r>
              <w:rPr>
                <w:color w:val="000000"/>
                <w:sz w:val="28"/>
                <w:szCs w:val="28"/>
              </w:rPr>
              <w:t>862 983,18</w:t>
            </w:r>
          </w:p>
        </w:tc>
        <w:tc>
          <w:tcPr>
            <w:tcW w:w="3560" w:type="dxa"/>
            <w:tcBorders>
              <w:top w:val="single" w:sz="4" w:space="0" w:color="000000"/>
              <w:bottom w:val="single" w:sz="4" w:space="0" w:color="000000"/>
              <w:right w:val="single" w:sz="4" w:space="0" w:color="000000"/>
            </w:tcBorders>
            <w:shd w:color="auto" w:fill="auto" w:val="clear"/>
          </w:tcPr>
          <w:p>
            <w:pPr>
              <w:pStyle w:val="Normal"/>
              <w:jc w:val="right"/>
              <w:rPr>
                <w:color w:val="000000"/>
                <w:sz w:val="28"/>
                <w:szCs w:val="28"/>
              </w:rPr>
            </w:pPr>
            <w:r>
              <w:rPr>
                <w:color w:val="000000"/>
                <w:sz w:val="28"/>
                <w:szCs w:val="28"/>
              </w:rPr>
              <w:t>Ликвидировано 31.05.2018</w:t>
            </w:r>
          </w:p>
        </w:tc>
      </w:tr>
      <w:tr>
        <w:trPr>
          <w:trHeight w:val="561" w:hRule="atLeast"/>
        </w:trPr>
        <w:tc>
          <w:tcPr>
            <w:tcW w:w="593" w:type="dxa"/>
            <w:tcBorders>
              <w:left w:val="single" w:sz="4" w:space="0" w:color="000000"/>
              <w:bottom w:val="single" w:sz="4" w:space="0" w:color="000000"/>
              <w:right w:val="single" w:sz="4" w:space="0" w:color="000000"/>
            </w:tcBorders>
            <w:shd w:color="auto" w:fill="auto" w:val="clear"/>
          </w:tcPr>
          <w:p>
            <w:pPr>
              <w:pStyle w:val="Normal"/>
              <w:jc w:val="right"/>
              <w:rPr>
                <w:color w:val="000000"/>
                <w:sz w:val="28"/>
                <w:szCs w:val="28"/>
              </w:rPr>
            </w:pPr>
            <w:r>
              <w:rPr>
                <w:color w:val="000000"/>
                <w:sz w:val="28"/>
                <w:szCs w:val="28"/>
              </w:rPr>
              <w:t>7</w:t>
            </w:r>
          </w:p>
        </w:tc>
        <w:tc>
          <w:tcPr>
            <w:tcW w:w="3191" w:type="dxa"/>
            <w:tcBorders>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ОАО «Красаавтодорстрой»</w:t>
            </w:r>
          </w:p>
        </w:tc>
        <w:tc>
          <w:tcPr>
            <w:tcW w:w="2026" w:type="dxa"/>
            <w:tcBorders>
              <w:bottom w:val="single" w:sz="4" w:space="0" w:color="000000"/>
              <w:right w:val="single" w:sz="4" w:space="0" w:color="000000"/>
            </w:tcBorders>
            <w:shd w:color="auto" w:fill="auto" w:val="clear"/>
          </w:tcPr>
          <w:p>
            <w:pPr>
              <w:pStyle w:val="Normal"/>
              <w:jc w:val="right"/>
              <w:rPr>
                <w:color w:val="000000"/>
                <w:sz w:val="28"/>
                <w:szCs w:val="28"/>
              </w:rPr>
            </w:pPr>
            <w:r>
              <w:rPr>
                <w:color w:val="000000"/>
                <w:sz w:val="28"/>
                <w:szCs w:val="28"/>
              </w:rPr>
              <w:t>35 782,7</w:t>
            </w:r>
          </w:p>
        </w:tc>
        <w:tc>
          <w:tcPr>
            <w:tcW w:w="3560" w:type="dxa"/>
            <w:tcBorders>
              <w:bottom w:val="single" w:sz="4" w:space="0" w:color="000000"/>
              <w:right w:val="single" w:sz="4" w:space="0" w:color="000000"/>
            </w:tcBorders>
            <w:shd w:color="auto" w:fill="auto" w:val="clear"/>
          </w:tcPr>
          <w:p>
            <w:pPr>
              <w:pStyle w:val="Normal"/>
              <w:jc w:val="right"/>
              <w:rPr>
                <w:color w:val="000000"/>
                <w:sz w:val="28"/>
                <w:szCs w:val="28"/>
              </w:rPr>
            </w:pPr>
            <w:r>
              <w:rPr>
                <w:color w:val="000000"/>
                <w:sz w:val="28"/>
                <w:szCs w:val="28"/>
              </w:rPr>
              <w:t>Ликвидировано 22.04.2016</w:t>
            </w:r>
          </w:p>
          <w:p>
            <w:pPr>
              <w:pStyle w:val="Normal"/>
              <w:jc w:val="right"/>
              <w:rPr>
                <w:color w:val="000000"/>
                <w:sz w:val="28"/>
                <w:szCs w:val="28"/>
              </w:rPr>
            </w:pPr>
            <w:r>
              <w:rPr>
                <w:color w:val="000000"/>
                <w:sz w:val="28"/>
                <w:szCs w:val="28"/>
              </w:rPr>
            </w:r>
          </w:p>
        </w:tc>
      </w:tr>
      <w:tr>
        <w:trPr>
          <w:trHeight w:val="485" w:hRule="atLeast"/>
        </w:trPr>
        <w:tc>
          <w:tcPr>
            <w:tcW w:w="593" w:type="dxa"/>
            <w:tcBorders>
              <w:left w:val="single" w:sz="4" w:space="0" w:color="000000"/>
              <w:bottom w:val="single" w:sz="4" w:space="0" w:color="000000"/>
              <w:right w:val="single" w:sz="4" w:space="0" w:color="000000"/>
            </w:tcBorders>
            <w:shd w:color="auto" w:fill="auto" w:val="clear"/>
          </w:tcPr>
          <w:p>
            <w:pPr>
              <w:pStyle w:val="Normal"/>
              <w:jc w:val="right"/>
              <w:rPr>
                <w:color w:val="000000"/>
                <w:sz w:val="28"/>
                <w:szCs w:val="28"/>
              </w:rPr>
            </w:pPr>
            <w:r>
              <w:rPr>
                <w:color w:val="000000"/>
                <w:sz w:val="28"/>
                <w:szCs w:val="28"/>
              </w:rPr>
              <w:t>8</w:t>
            </w:r>
          </w:p>
        </w:tc>
        <w:tc>
          <w:tcPr>
            <w:tcW w:w="3191" w:type="dxa"/>
            <w:tcBorders>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 xml:space="preserve">ООО «Форест» </w:t>
            </w:r>
          </w:p>
        </w:tc>
        <w:tc>
          <w:tcPr>
            <w:tcW w:w="2026" w:type="dxa"/>
            <w:tcBorders>
              <w:bottom w:val="single" w:sz="4" w:space="0" w:color="000000"/>
              <w:right w:val="single" w:sz="4" w:space="0" w:color="000000"/>
            </w:tcBorders>
            <w:shd w:color="auto" w:fill="auto" w:val="clear"/>
          </w:tcPr>
          <w:p>
            <w:pPr>
              <w:pStyle w:val="Normal"/>
              <w:jc w:val="right"/>
              <w:rPr>
                <w:color w:val="000000"/>
                <w:sz w:val="28"/>
                <w:szCs w:val="28"/>
              </w:rPr>
            </w:pPr>
            <w:r>
              <w:rPr>
                <w:color w:val="000000"/>
                <w:sz w:val="28"/>
                <w:szCs w:val="28"/>
              </w:rPr>
              <w:t>11 711,68</w:t>
            </w:r>
          </w:p>
        </w:tc>
        <w:tc>
          <w:tcPr>
            <w:tcW w:w="3560" w:type="dxa"/>
            <w:tcBorders>
              <w:bottom w:val="single" w:sz="4" w:space="0" w:color="000000"/>
              <w:right w:val="single" w:sz="4" w:space="0" w:color="000000"/>
            </w:tcBorders>
            <w:shd w:color="auto" w:fill="auto" w:val="clear"/>
          </w:tcPr>
          <w:p>
            <w:pPr>
              <w:pStyle w:val="Normal"/>
              <w:jc w:val="right"/>
              <w:rPr>
                <w:color w:val="000000"/>
                <w:sz w:val="28"/>
                <w:szCs w:val="28"/>
              </w:rPr>
            </w:pPr>
            <w:r>
              <w:rPr>
                <w:color w:val="000000"/>
                <w:sz w:val="28"/>
                <w:szCs w:val="28"/>
              </w:rPr>
              <w:t>Прекращение деятельности 21.07.2017</w:t>
            </w:r>
          </w:p>
        </w:tc>
      </w:tr>
      <w:tr>
        <w:trPr>
          <w:trHeight w:val="392" w:hRule="atLeast"/>
        </w:trPr>
        <w:tc>
          <w:tcPr>
            <w:tcW w:w="593" w:type="dxa"/>
            <w:tcBorders>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 </w:t>
            </w:r>
          </w:p>
        </w:tc>
        <w:tc>
          <w:tcPr>
            <w:tcW w:w="3191" w:type="dxa"/>
            <w:tcBorders>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Итого:</w:t>
            </w:r>
          </w:p>
        </w:tc>
        <w:tc>
          <w:tcPr>
            <w:tcW w:w="2026" w:type="dxa"/>
            <w:tcBorders>
              <w:bottom w:val="single" w:sz="4" w:space="0" w:color="000000"/>
              <w:right w:val="single" w:sz="4" w:space="0" w:color="000000"/>
            </w:tcBorders>
            <w:shd w:color="auto" w:fill="auto" w:val="clear"/>
          </w:tcPr>
          <w:p>
            <w:pPr>
              <w:pStyle w:val="Normal"/>
              <w:jc w:val="right"/>
              <w:rPr>
                <w:color w:val="000000"/>
                <w:sz w:val="28"/>
                <w:szCs w:val="28"/>
              </w:rPr>
            </w:pPr>
            <w:r>
              <w:rPr>
                <w:color w:val="000000"/>
                <w:sz w:val="28"/>
                <w:szCs w:val="28"/>
              </w:rPr>
              <w:t>8 478 566,90</w:t>
            </w:r>
          </w:p>
        </w:tc>
        <w:tc>
          <w:tcPr>
            <w:tcW w:w="3560" w:type="dxa"/>
            <w:tcBorders>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 </w:t>
            </w:r>
          </w:p>
        </w:tc>
      </w:tr>
    </w:tbl>
    <w:p>
      <w:pPr>
        <w:pStyle w:val="Normal"/>
        <w:ind w:firstLine="708"/>
        <w:jc w:val="both"/>
        <w:rPr>
          <w:rFonts w:eastAsia="Calibri" w:eastAsiaTheme="minorHAnsi"/>
          <w:sz w:val="28"/>
          <w:szCs w:val="28"/>
          <w:lang w:eastAsia="en-US"/>
        </w:rPr>
      </w:pPr>
      <w:r>
        <w:rPr>
          <w:rFonts w:eastAsia="Calibri" w:eastAsiaTheme="minorHAnsi"/>
          <w:sz w:val="28"/>
          <w:szCs w:val="28"/>
          <w:lang w:eastAsia="en-US"/>
        </w:rPr>
        <w:t xml:space="preserve"> </w:t>
      </w:r>
      <w:r>
        <w:rPr>
          <w:rFonts w:eastAsia="Calibri" w:eastAsiaTheme="minorHAnsi"/>
          <w:sz w:val="28"/>
          <w:szCs w:val="28"/>
          <w:lang w:eastAsia="en-US"/>
        </w:rPr>
        <w:t>При этом КУМИ своевременно не проведена работа по взысканию задолженности с вышеперечисленной категорией землепользователей, так:</w:t>
      </w:r>
    </w:p>
    <w:p>
      <w:pPr>
        <w:pStyle w:val="Normal"/>
        <w:ind w:firstLine="708"/>
        <w:jc w:val="both"/>
        <w:rPr>
          <w:rFonts w:eastAsia="Calibri" w:eastAsiaTheme="minorHAnsi"/>
          <w:sz w:val="28"/>
          <w:szCs w:val="28"/>
          <w:lang w:eastAsia="en-US"/>
        </w:rPr>
      </w:pPr>
      <w:r>
        <w:rPr>
          <w:rFonts w:eastAsia="Calibri" w:eastAsiaTheme="minorHAnsi"/>
          <w:sz w:val="28"/>
          <w:szCs w:val="28"/>
          <w:lang w:eastAsia="en-US"/>
        </w:rPr>
        <w:t xml:space="preserve">пунктом 4.4 договора предусмотрена обязанность арендатора в случае изменения организационно-правовой формы, юридического адреса, иных реквизитов, а также перехода прав собственности на объекты недвижимого имущества находящиеся на участке, принятии решения о ликвидации арендатора или признании его банкротом в 10-дневный срок, письменно, уведомить об этом КУМИ. </w:t>
      </w:r>
    </w:p>
    <w:p>
      <w:pPr>
        <w:pStyle w:val="Normal"/>
        <w:ind w:firstLine="708"/>
        <w:jc w:val="both"/>
        <w:rPr>
          <w:rFonts w:eastAsia="Calibri" w:eastAsiaTheme="minorHAnsi"/>
          <w:sz w:val="28"/>
          <w:szCs w:val="28"/>
          <w:lang w:eastAsia="en-US"/>
        </w:rPr>
      </w:pPr>
      <w:r>
        <w:rPr>
          <w:rFonts w:eastAsia="Calibri" w:eastAsiaTheme="minorHAnsi"/>
          <w:sz w:val="28"/>
          <w:szCs w:val="28"/>
          <w:lang w:eastAsia="en-US"/>
        </w:rPr>
        <w:t>Проверка договоров аренды земельных участков свидетельствует                            о необходимости проведения инвентаризации договоров аренды с целью выявления действующих договоров, площади земельных участков, находящихся в аренде, суммы начислений арендной платы за землю                                    и задолженности по арендной плате, как текущей, так и просроченной.</w:t>
      </w:r>
    </w:p>
    <w:p>
      <w:pPr>
        <w:pStyle w:val="Normal"/>
        <w:ind w:firstLine="708"/>
        <w:jc w:val="both"/>
        <w:rPr>
          <w:rFonts w:eastAsia="Calibri" w:eastAsiaTheme="minorHAnsi"/>
          <w:sz w:val="28"/>
          <w:szCs w:val="28"/>
          <w:lang w:eastAsia="en-US"/>
        </w:rPr>
      </w:pPr>
      <w:r>
        <w:rPr>
          <w:rFonts w:eastAsia="Calibri" w:eastAsiaTheme="minorHAnsi"/>
          <w:sz w:val="28"/>
          <w:szCs w:val="28"/>
          <w:lang w:eastAsia="en-US"/>
        </w:rPr>
      </w:r>
    </w:p>
    <w:p>
      <w:pPr>
        <w:pStyle w:val="Normal"/>
        <w:jc w:val="center"/>
        <w:rPr>
          <w:rFonts w:eastAsia="Calibri" w:eastAsiaTheme="minorHAnsi"/>
          <w:b/>
          <w:b/>
          <w:i/>
          <w:i/>
          <w:sz w:val="28"/>
          <w:szCs w:val="28"/>
          <w:lang w:eastAsia="en-US"/>
        </w:rPr>
      </w:pPr>
      <w:r>
        <w:rPr>
          <w:rFonts w:eastAsia="Calibri" w:eastAsiaTheme="minorHAnsi"/>
          <w:b/>
          <w:i/>
          <w:sz w:val="28"/>
          <w:szCs w:val="28"/>
          <w:lang w:eastAsia="en-US"/>
        </w:rPr>
        <w:t>Списание безнадежной задолженности</w:t>
      </w:r>
    </w:p>
    <w:p>
      <w:pPr>
        <w:pStyle w:val="Normal"/>
        <w:jc w:val="center"/>
        <w:rPr>
          <w:rFonts w:eastAsia="Calibri" w:eastAsiaTheme="minorHAnsi"/>
          <w:b/>
          <w:b/>
          <w:i/>
          <w:i/>
          <w:sz w:val="28"/>
          <w:szCs w:val="28"/>
          <w:lang w:eastAsia="en-US"/>
        </w:rPr>
      </w:pPr>
      <w:r>
        <w:rPr>
          <w:rFonts w:eastAsia="Calibri" w:eastAsiaTheme="minorHAnsi"/>
          <w:b/>
          <w:i/>
          <w:sz w:val="28"/>
          <w:szCs w:val="28"/>
          <w:lang w:eastAsia="en-US"/>
        </w:rPr>
      </w:r>
    </w:p>
    <w:p>
      <w:pPr>
        <w:pStyle w:val="Normal"/>
        <w:ind w:firstLine="708"/>
        <w:jc w:val="both"/>
        <w:rPr>
          <w:rFonts w:eastAsia="Calibri" w:eastAsiaTheme="minorHAnsi"/>
          <w:sz w:val="28"/>
          <w:szCs w:val="28"/>
          <w:lang w:eastAsia="en-US"/>
        </w:rPr>
      </w:pPr>
      <w:r>
        <w:rPr>
          <w:sz w:val="28"/>
          <w:szCs w:val="28"/>
        </w:rPr>
        <w:t>Списание</w:t>
      </w:r>
      <w:r>
        <w:rPr>
          <w:rFonts w:eastAsia="Calibri" w:eastAsiaTheme="minorHAnsi"/>
          <w:sz w:val="28"/>
          <w:szCs w:val="28"/>
          <w:lang w:eastAsia="en-US"/>
        </w:rPr>
        <w:t xml:space="preserve"> безнадежной и невозможной к взысканию задолженности                     по арендной плате и начисленной пени за земельные участки, государственная собственность на которые не разграничена, осуществляется в соответствии                    с приказом «Об утверждении порядка принятия решений о признании безнадежной к взысканию задолженности по администрируемым МКУ «КУМИ г. Канска» доходам бюджета города Канска», утвержденный Муниципальным казенным учреждением «</w:t>
      </w:r>
      <w:r>
        <w:rPr>
          <w:sz w:val="28"/>
          <w:szCs w:val="28"/>
        </w:rPr>
        <w:t>Комитет по управлению муниципальным имуществом города Канска» от 30.06.2016 № 43-ОД</w:t>
      </w:r>
    </w:p>
    <w:p>
      <w:pPr>
        <w:pStyle w:val="Normal"/>
        <w:ind w:firstLine="708"/>
        <w:jc w:val="both"/>
        <w:rPr>
          <w:rFonts w:eastAsia="Calibri" w:eastAsiaTheme="minorHAnsi"/>
          <w:sz w:val="28"/>
          <w:szCs w:val="28"/>
          <w:lang w:eastAsia="en-US"/>
        </w:rPr>
      </w:pPr>
      <w:r>
        <w:rPr>
          <w:rFonts w:eastAsia="Calibri" w:eastAsiaTheme="minorHAnsi"/>
          <w:sz w:val="28"/>
          <w:szCs w:val="28"/>
          <w:lang w:eastAsia="en-US"/>
        </w:rPr>
        <w:t xml:space="preserve">Данным </w:t>
      </w:r>
      <w:r>
        <w:rPr>
          <w:sz w:val="28"/>
          <w:szCs w:val="28"/>
        </w:rPr>
        <w:t>решением</w:t>
      </w:r>
      <w:r>
        <w:rPr>
          <w:rFonts w:eastAsia="Calibri" w:eastAsiaTheme="minorHAnsi"/>
          <w:sz w:val="28"/>
          <w:szCs w:val="28"/>
          <w:lang w:eastAsia="en-US"/>
        </w:rPr>
        <w:t xml:space="preserve"> так же утвержден состав комиссии по принятию решений о признании безнадежной к взысканию задолженности по администрируемым МКУ «КУМИ г. Канска» доходам бюджета города Канска».</w:t>
      </w:r>
    </w:p>
    <w:p>
      <w:pPr>
        <w:pStyle w:val="Normal"/>
        <w:ind w:firstLine="708"/>
        <w:jc w:val="both"/>
        <w:rPr>
          <w:rFonts w:eastAsia="Calibri" w:eastAsiaTheme="minorHAnsi"/>
          <w:sz w:val="28"/>
          <w:szCs w:val="28"/>
          <w:lang w:eastAsia="en-US"/>
        </w:rPr>
      </w:pPr>
      <w:r>
        <w:rPr>
          <w:rFonts w:eastAsia="Calibri" w:eastAsiaTheme="minorHAnsi"/>
          <w:sz w:val="28"/>
          <w:szCs w:val="28"/>
          <w:lang w:eastAsia="en-US"/>
        </w:rPr>
        <w:t xml:space="preserve">    </w:t>
      </w:r>
    </w:p>
    <w:p>
      <w:pPr>
        <w:pStyle w:val="Normal"/>
        <w:ind w:firstLine="708"/>
        <w:jc w:val="center"/>
        <w:rPr>
          <w:b/>
          <w:b/>
          <w:sz w:val="28"/>
          <w:szCs w:val="28"/>
        </w:rPr>
      </w:pPr>
      <w:r>
        <w:rPr>
          <w:b/>
          <w:sz w:val="28"/>
          <w:szCs w:val="28"/>
        </w:rPr>
        <w:t>2.2. Проверка правильности начисления арендной платы.</w:t>
      </w:r>
    </w:p>
    <w:p>
      <w:pPr>
        <w:pStyle w:val="Normal"/>
        <w:ind w:firstLine="708"/>
        <w:jc w:val="both"/>
        <w:rPr>
          <w:sz w:val="28"/>
          <w:szCs w:val="28"/>
        </w:rPr>
      </w:pPr>
      <w:r>
        <w:rPr>
          <w:sz w:val="28"/>
          <w:szCs w:val="28"/>
        </w:rPr>
        <w:t xml:space="preserve">Наиболее простой и эффективный способ получения доходов                                   от использования земельных участков – это сдача в аренду. </w:t>
      </w:r>
    </w:p>
    <w:p>
      <w:pPr>
        <w:pStyle w:val="Normal"/>
        <w:ind w:firstLine="708"/>
        <w:jc w:val="both"/>
        <w:rPr>
          <w:sz w:val="28"/>
          <w:szCs w:val="28"/>
        </w:rPr>
      </w:pPr>
      <w:r>
        <w:rPr>
          <w:sz w:val="28"/>
          <w:szCs w:val="28"/>
        </w:rPr>
        <w:t>Расчет арендной платы за земли в границах городского округа - город Канск производится в соответствии Решение Канского городского Совета депутатов от 03.07.2015 № 1035 «Об утверждении порядка определения размера арендной платы за земельные участки из земель, находящихся                            в муниципальной собственности, и порядка, условий и сроков внесения арендной платы за земельные из земель, находящихся в муниципальной собственности» и решением Канского  городского Совета депутатов                               от 22.06.2012 № 1021 об утверждении  коэффициентов К1 и К2, применяемых при определении арендной платы за земельные участки на территории муниципального образования город Канск, установлены коэффициенты  учитывающие вид разрешенного использования земельных участков на 2017 год (внесены изменения от 26.05.2017 № 494)</w:t>
      </w:r>
    </w:p>
    <w:p>
      <w:pPr>
        <w:pStyle w:val="Normal"/>
        <w:ind w:firstLine="709"/>
        <w:jc w:val="both"/>
        <w:rPr>
          <w:rFonts w:eastAsia="Calibri" w:eastAsiaTheme="minorHAnsi"/>
          <w:sz w:val="28"/>
          <w:szCs w:val="28"/>
          <w:lang w:eastAsia="en-US"/>
        </w:rPr>
      </w:pPr>
      <w:r>
        <w:rPr>
          <w:sz w:val="28"/>
          <w:szCs w:val="28"/>
        </w:rPr>
        <w:t xml:space="preserve">В соответствии </w:t>
      </w:r>
      <w:r>
        <w:rPr>
          <w:rFonts w:eastAsia="Calibri" w:eastAsiaTheme="minorHAnsi"/>
          <w:sz w:val="28"/>
          <w:szCs w:val="28"/>
          <w:lang w:eastAsia="en-US"/>
        </w:rPr>
        <w:t xml:space="preserve">Постановления от 30.09.2013 № 1332 «Об утверждении регламента взаимодействия функциональных подразделений администрации города Канска при организации и проведении торгов по продаже земельных участков, права на заключения договоров аренды земельных участков                            на территории муниципального образования город Канск» п.4. </w:t>
      </w:r>
      <w:r>
        <w:rPr>
          <w:sz w:val="28"/>
          <w:szCs w:val="28"/>
        </w:rPr>
        <w:t>Комитет                      по управлению муниципальным имуществом города Канска</w:t>
      </w:r>
      <w:r>
        <w:rPr>
          <w:rFonts w:eastAsia="Calibri" w:eastAsiaTheme="minorHAnsi"/>
          <w:sz w:val="28"/>
          <w:szCs w:val="28"/>
          <w:lang w:eastAsia="en-US"/>
        </w:rPr>
        <w:t xml:space="preserve"> осуществляет функции на заключение договора аренды земельного участка и договора купли-продажи.</w:t>
      </w:r>
    </w:p>
    <w:p>
      <w:pPr>
        <w:pStyle w:val="Normal"/>
        <w:ind w:firstLine="709"/>
        <w:jc w:val="both"/>
        <w:rPr>
          <w:sz w:val="28"/>
          <w:szCs w:val="28"/>
        </w:rPr>
      </w:pPr>
      <w:r>
        <w:rPr>
          <w:sz w:val="28"/>
          <w:szCs w:val="28"/>
        </w:rPr>
        <w:t xml:space="preserve">Договор аренды содержит требования, установленные п.1 ст. 609                            и  п. 3 ст. 607 ГК РФ, с указанием данных позволяющих установить переданное арендатору имущество, адрес   земельного участка, переданного в аренду, площадь, обремененная, кадастровый номер, вид разрешенного использования, общая сумма основного платежа, срок действия договора.  </w:t>
      </w:r>
    </w:p>
    <w:p>
      <w:pPr>
        <w:pStyle w:val="Normal"/>
        <w:ind w:firstLine="708"/>
        <w:jc w:val="both"/>
        <w:rPr>
          <w:sz w:val="28"/>
          <w:szCs w:val="28"/>
        </w:rPr>
      </w:pPr>
      <w:r>
        <w:rPr>
          <w:sz w:val="28"/>
          <w:szCs w:val="28"/>
        </w:rPr>
        <w:t>Размер арендной платы за использование земельных участков государственная собственность, на которые не разграничена, определяется                    в договоре аренды земельного участка в соответствии с положениями Закона Красноярского края от 04.12.2008 № 7-2542 и нормативных правовых   актов органов местного самоуправления.</w:t>
      </w:r>
    </w:p>
    <w:p>
      <w:pPr>
        <w:pStyle w:val="Normal"/>
        <w:numPr>
          <w:ilvl w:val="0"/>
          <w:numId w:val="0"/>
        </w:numPr>
        <w:jc w:val="both"/>
        <w:outlineLvl w:val="0"/>
        <w:rPr>
          <w:sz w:val="28"/>
          <w:szCs w:val="28"/>
        </w:rPr>
      </w:pPr>
      <w:r>
        <w:rPr>
          <w:sz w:val="28"/>
          <w:szCs w:val="28"/>
        </w:rPr>
      </w:r>
    </w:p>
    <w:p>
      <w:pPr>
        <w:pStyle w:val="Normal"/>
        <w:numPr>
          <w:ilvl w:val="0"/>
          <w:numId w:val="0"/>
        </w:numPr>
        <w:jc w:val="center"/>
        <w:outlineLvl w:val="0"/>
        <w:rPr>
          <w:b/>
          <w:b/>
          <w:i/>
          <w:i/>
          <w:sz w:val="28"/>
          <w:szCs w:val="28"/>
        </w:rPr>
      </w:pPr>
      <w:r>
        <w:rPr>
          <w:b/>
          <w:i/>
          <w:sz w:val="28"/>
          <w:szCs w:val="28"/>
        </w:rPr>
        <w:t>2.3. Оценка претензионно-исковой работы</w:t>
      </w:r>
    </w:p>
    <w:p>
      <w:pPr>
        <w:pStyle w:val="Normal"/>
        <w:numPr>
          <w:ilvl w:val="0"/>
          <w:numId w:val="0"/>
        </w:numPr>
        <w:jc w:val="center"/>
        <w:outlineLvl w:val="0"/>
        <w:rPr/>
      </w:pPr>
      <w:r>
        <w:rPr/>
      </w:r>
      <w:bookmarkStart w:id="4" w:name="_GoBack"/>
      <w:bookmarkStart w:id="5" w:name="_GoBack"/>
      <w:bookmarkEnd w:id="5"/>
    </w:p>
    <w:p>
      <w:pPr>
        <w:pStyle w:val="Normal"/>
        <w:ind w:firstLine="708"/>
        <w:jc w:val="both"/>
        <w:rPr>
          <w:sz w:val="28"/>
          <w:szCs w:val="28"/>
        </w:rPr>
      </w:pPr>
      <w:r>
        <w:rPr>
          <w:sz w:val="28"/>
          <w:szCs w:val="28"/>
        </w:rPr>
        <w:t xml:space="preserve">В поверяемом периоде КУМИ проводилась определенная работа                         по принятию мер к полному и своевременному поступлению арендных платежей, осуществлению мероприятий по начислению и взиманию денежных средств за фактическое использование земельных участков. </w:t>
      </w:r>
    </w:p>
    <w:p>
      <w:pPr>
        <w:pStyle w:val="Normal"/>
        <w:ind w:firstLine="708"/>
        <w:jc w:val="both"/>
        <w:rPr>
          <w:sz w:val="28"/>
          <w:szCs w:val="28"/>
        </w:rPr>
      </w:pPr>
      <w:r>
        <w:rPr>
          <w:sz w:val="28"/>
          <w:szCs w:val="28"/>
        </w:rPr>
        <w:t>Общая задолженность по арендной плате и неосновательному обогащению по юридическим лицам в сумме 9 494 860,00 рублей,                                       по физическим лицам в сумме 5 780 570,00 рублей.</w:t>
      </w:r>
    </w:p>
    <w:p>
      <w:pPr>
        <w:pStyle w:val="Normal"/>
        <w:ind w:firstLine="708"/>
        <w:jc w:val="both"/>
        <w:rPr>
          <w:sz w:val="28"/>
          <w:szCs w:val="28"/>
        </w:rPr>
      </w:pPr>
      <w:r>
        <w:rPr>
          <w:sz w:val="28"/>
          <w:szCs w:val="28"/>
        </w:rPr>
      </w:r>
    </w:p>
    <w:p>
      <w:pPr>
        <w:pStyle w:val="Normal"/>
        <w:ind w:firstLine="708"/>
        <w:jc w:val="both"/>
        <w:rPr>
          <w:b/>
          <w:b/>
          <w:sz w:val="28"/>
          <w:szCs w:val="28"/>
        </w:rPr>
      </w:pPr>
      <w:r>
        <w:rPr>
          <w:b/>
          <w:sz w:val="28"/>
          <w:szCs w:val="28"/>
        </w:rPr>
        <w:t>1. Предъявлено претензий на сумму 13 391 970,00 рублей:</w:t>
      </w:r>
    </w:p>
    <w:p>
      <w:pPr>
        <w:pStyle w:val="Normal"/>
        <w:ind w:firstLine="708"/>
        <w:jc w:val="both"/>
        <w:rPr>
          <w:sz w:val="28"/>
          <w:szCs w:val="28"/>
        </w:rPr>
      </w:pPr>
      <w:r>
        <w:rPr>
          <w:sz w:val="28"/>
          <w:szCs w:val="28"/>
        </w:rPr>
        <w:t>- по юридическим лицам в количестве 209 на сумму 8 254 900,00 рублей</w:t>
      </w:r>
    </w:p>
    <w:p>
      <w:pPr>
        <w:pStyle w:val="Normal"/>
        <w:ind w:firstLine="708"/>
        <w:jc w:val="both"/>
        <w:rPr>
          <w:sz w:val="28"/>
          <w:szCs w:val="28"/>
        </w:rPr>
      </w:pPr>
      <w:r>
        <w:rPr>
          <w:sz w:val="28"/>
          <w:szCs w:val="28"/>
        </w:rPr>
        <w:t>- по физическим лицам в количестве 442 на сумму сумме 5 137 070,00 рублей</w:t>
      </w:r>
    </w:p>
    <w:p>
      <w:pPr>
        <w:pStyle w:val="Normal"/>
        <w:ind w:firstLine="708"/>
        <w:jc w:val="both"/>
        <w:rPr>
          <w:b/>
          <w:b/>
          <w:sz w:val="28"/>
          <w:szCs w:val="28"/>
        </w:rPr>
      </w:pPr>
      <w:r>
        <w:rPr>
          <w:b/>
          <w:sz w:val="28"/>
          <w:szCs w:val="28"/>
        </w:rPr>
        <w:t>Удовлетворенно претензий на сумму 4 279 520,00 рублей:</w:t>
      </w:r>
    </w:p>
    <w:p>
      <w:pPr>
        <w:pStyle w:val="Normal"/>
        <w:ind w:firstLine="708"/>
        <w:jc w:val="both"/>
        <w:rPr>
          <w:sz w:val="28"/>
          <w:szCs w:val="28"/>
        </w:rPr>
      </w:pPr>
      <w:r>
        <w:rPr>
          <w:sz w:val="28"/>
          <w:szCs w:val="28"/>
        </w:rPr>
        <w:t>- по юридическим лицам в количестве 118 на сумму 2 671 100,00 рублей</w:t>
      </w:r>
    </w:p>
    <w:p>
      <w:pPr>
        <w:pStyle w:val="Normal"/>
        <w:ind w:firstLine="708"/>
        <w:jc w:val="both"/>
        <w:rPr>
          <w:sz w:val="28"/>
          <w:szCs w:val="28"/>
        </w:rPr>
      </w:pPr>
      <w:r>
        <w:rPr>
          <w:sz w:val="28"/>
          <w:szCs w:val="28"/>
        </w:rPr>
        <w:t>- по физическим лицам в количестве 165 на сумму сумме 1 608 420,00 рублей.</w:t>
      </w:r>
    </w:p>
    <w:p>
      <w:pPr>
        <w:pStyle w:val="Normal"/>
        <w:ind w:firstLine="708"/>
        <w:jc w:val="both"/>
        <w:rPr>
          <w:b/>
          <w:b/>
          <w:sz w:val="28"/>
          <w:szCs w:val="28"/>
        </w:rPr>
      </w:pPr>
      <w:r>
        <w:rPr>
          <w:b/>
          <w:sz w:val="28"/>
          <w:szCs w:val="28"/>
        </w:rPr>
        <w:t>По предоставленным данным КУМИ видно, что всего за 2017 год                    без удовлетворения претензий осталось:</w:t>
      </w:r>
    </w:p>
    <w:p>
      <w:pPr>
        <w:pStyle w:val="Normal"/>
        <w:ind w:firstLine="708"/>
        <w:jc w:val="both"/>
        <w:rPr>
          <w:sz w:val="28"/>
          <w:szCs w:val="28"/>
        </w:rPr>
      </w:pPr>
      <w:r>
        <w:rPr>
          <w:sz w:val="28"/>
          <w:szCs w:val="28"/>
        </w:rPr>
        <w:t>- по юридическим лицам в количестве 91 на сумму 5 583 800 рублей</w:t>
      </w:r>
    </w:p>
    <w:p>
      <w:pPr>
        <w:pStyle w:val="Normal"/>
        <w:ind w:firstLine="708"/>
        <w:jc w:val="both"/>
        <w:rPr>
          <w:sz w:val="28"/>
          <w:szCs w:val="28"/>
        </w:rPr>
      </w:pPr>
      <w:r>
        <w:rPr>
          <w:sz w:val="28"/>
          <w:szCs w:val="28"/>
        </w:rPr>
        <w:t xml:space="preserve">- по физическим лицам в количестве 277 на сумму сумме 3 528 650 рублей. </w:t>
      </w:r>
    </w:p>
    <w:p>
      <w:pPr>
        <w:pStyle w:val="Normal"/>
        <w:ind w:firstLine="708"/>
        <w:jc w:val="both"/>
        <w:rPr>
          <w:b/>
          <w:b/>
          <w:sz w:val="28"/>
          <w:szCs w:val="28"/>
        </w:rPr>
      </w:pPr>
      <w:r>
        <w:rPr>
          <w:b/>
          <w:sz w:val="28"/>
          <w:szCs w:val="28"/>
        </w:rPr>
        <w:t>Взыскано средств в бюджет города в сумме 892 800,00 рублей                           из удовлетворенных претензий в сумме 4 279 520,00 рублей или 20,8 %.</w:t>
      </w:r>
    </w:p>
    <w:p>
      <w:pPr>
        <w:pStyle w:val="Normal"/>
        <w:ind w:firstLine="708"/>
        <w:jc w:val="both"/>
        <w:rPr>
          <w:sz w:val="28"/>
          <w:szCs w:val="28"/>
        </w:rPr>
      </w:pPr>
      <w:r>
        <w:rPr>
          <w:sz w:val="28"/>
          <w:szCs w:val="28"/>
        </w:rPr>
      </w:r>
    </w:p>
    <w:p>
      <w:pPr>
        <w:pStyle w:val="Normal"/>
        <w:ind w:firstLine="708"/>
        <w:jc w:val="both"/>
        <w:rPr>
          <w:b/>
          <w:b/>
          <w:sz w:val="28"/>
          <w:szCs w:val="28"/>
        </w:rPr>
      </w:pPr>
      <w:r>
        <w:rPr>
          <w:b/>
          <w:sz w:val="28"/>
          <w:szCs w:val="28"/>
        </w:rPr>
        <w:t>2. Предъявлено исков на сумму 5 412 650,00 рублей:</w:t>
      </w:r>
    </w:p>
    <w:p>
      <w:pPr>
        <w:pStyle w:val="Normal"/>
        <w:ind w:firstLine="708"/>
        <w:jc w:val="both"/>
        <w:rPr>
          <w:sz w:val="28"/>
          <w:szCs w:val="28"/>
        </w:rPr>
      </w:pPr>
      <w:r>
        <w:rPr>
          <w:sz w:val="28"/>
          <w:szCs w:val="28"/>
        </w:rPr>
        <w:t>- по юридическим лицам в количестве 12 на сумму 3 651 270,00 рублей</w:t>
      </w:r>
    </w:p>
    <w:p>
      <w:pPr>
        <w:pStyle w:val="Normal"/>
        <w:ind w:firstLine="708"/>
        <w:jc w:val="both"/>
        <w:rPr>
          <w:sz w:val="28"/>
          <w:szCs w:val="28"/>
        </w:rPr>
      </w:pPr>
      <w:r>
        <w:rPr>
          <w:sz w:val="28"/>
          <w:szCs w:val="28"/>
        </w:rPr>
        <w:t>- по физическим лицам в количестве 19 на сумму сумме 1 761 380,00 рублей</w:t>
      </w:r>
    </w:p>
    <w:p>
      <w:pPr>
        <w:pStyle w:val="Normal"/>
        <w:ind w:firstLine="708"/>
        <w:jc w:val="both"/>
        <w:rPr>
          <w:b/>
          <w:b/>
          <w:sz w:val="28"/>
          <w:szCs w:val="28"/>
        </w:rPr>
      </w:pPr>
      <w:r>
        <w:rPr>
          <w:b/>
          <w:sz w:val="28"/>
          <w:szCs w:val="28"/>
        </w:rPr>
        <w:t>Удовлетворенно исков на сумму 4 269 980,00 рублей:</w:t>
      </w:r>
    </w:p>
    <w:p>
      <w:pPr>
        <w:pStyle w:val="Normal"/>
        <w:ind w:firstLine="708"/>
        <w:jc w:val="both"/>
        <w:rPr>
          <w:sz w:val="28"/>
          <w:szCs w:val="28"/>
        </w:rPr>
      </w:pPr>
      <w:r>
        <w:rPr>
          <w:sz w:val="28"/>
          <w:szCs w:val="28"/>
        </w:rPr>
        <w:t>- по юридическим лицам в количестве 7 на сумму 3 108 230,00 рублей</w:t>
      </w:r>
    </w:p>
    <w:p>
      <w:pPr>
        <w:pStyle w:val="Normal"/>
        <w:ind w:firstLine="708"/>
        <w:jc w:val="both"/>
        <w:rPr>
          <w:sz w:val="28"/>
          <w:szCs w:val="28"/>
        </w:rPr>
      </w:pPr>
      <w:r>
        <w:rPr>
          <w:sz w:val="28"/>
          <w:szCs w:val="28"/>
        </w:rPr>
        <w:t>- по физическим лицам в количестве 14 на сумму сумме 1 161 750,00 рублей.</w:t>
      </w:r>
    </w:p>
    <w:p>
      <w:pPr>
        <w:pStyle w:val="Normal"/>
        <w:ind w:firstLine="708"/>
        <w:jc w:val="both"/>
        <w:rPr>
          <w:b/>
          <w:b/>
          <w:sz w:val="28"/>
          <w:szCs w:val="28"/>
        </w:rPr>
      </w:pPr>
      <w:r>
        <w:rPr>
          <w:b/>
          <w:sz w:val="28"/>
          <w:szCs w:val="28"/>
        </w:rPr>
        <w:t>По предоставленным данным КУМИ видно, что всего за 2017 год                                без удовлетворения исков осталось:</w:t>
      </w:r>
    </w:p>
    <w:p>
      <w:pPr>
        <w:pStyle w:val="Normal"/>
        <w:ind w:firstLine="708"/>
        <w:jc w:val="both"/>
        <w:rPr>
          <w:sz w:val="28"/>
          <w:szCs w:val="28"/>
        </w:rPr>
      </w:pPr>
      <w:r>
        <w:rPr>
          <w:sz w:val="28"/>
          <w:szCs w:val="28"/>
        </w:rPr>
        <w:t>- по юридическим лицам в количестве 5 на сумму 543 040 рублей</w:t>
      </w:r>
    </w:p>
    <w:p>
      <w:pPr>
        <w:pStyle w:val="Normal"/>
        <w:ind w:firstLine="708"/>
        <w:jc w:val="both"/>
        <w:rPr>
          <w:sz w:val="28"/>
          <w:szCs w:val="28"/>
        </w:rPr>
      </w:pPr>
      <w:r>
        <w:rPr>
          <w:sz w:val="28"/>
          <w:szCs w:val="28"/>
        </w:rPr>
        <w:t xml:space="preserve">- по физическим лицам в количестве 5 на сумму сумме 599 630 рублей. </w:t>
      </w:r>
    </w:p>
    <w:p>
      <w:pPr>
        <w:pStyle w:val="Normal"/>
        <w:ind w:firstLine="708"/>
        <w:jc w:val="both"/>
        <w:rPr>
          <w:b/>
          <w:b/>
          <w:sz w:val="28"/>
          <w:szCs w:val="28"/>
        </w:rPr>
      </w:pPr>
      <w:r>
        <w:rPr>
          <w:b/>
          <w:sz w:val="28"/>
          <w:szCs w:val="28"/>
        </w:rPr>
        <w:t>Взыскано средств в бюджет города в сумме 639 590,00 рублей                          из удовлетворенных исков в сумме 4 269 980,00 рублей или 15,0 %.</w:t>
      </w:r>
    </w:p>
    <w:p>
      <w:pPr>
        <w:pStyle w:val="Normal"/>
        <w:ind w:firstLine="708"/>
        <w:jc w:val="both"/>
        <w:rPr>
          <w:sz w:val="28"/>
          <w:szCs w:val="28"/>
        </w:rPr>
      </w:pPr>
      <w:r>
        <w:rPr>
          <w:sz w:val="28"/>
          <w:szCs w:val="28"/>
        </w:rPr>
      </w:r>
    </w:p>
    <w:p>
      <w:pPr>
        <w:pStyle w:val="Normal"/>
        <w:ind w:firstLine="708"/>
        <w:jc w:val="both"/>
        <w:rPr>
          <w:sz w:val="28"/>
          <w:szCs w:val="28"/>
        </w:rPr>
      </w:pPr>
      <w:r>
        <w:rPr>
          <w:sz w:val="28"/>
          <w:szCs w:val="28"/>
        </w:rPr>
        <w:t xml:space="preserve">Из выше указанного городской бюджет не дополучил доходов в сумме 13 743 040,00 рублей. </w:t>
      </w:r>
    </w:p>
    <w:p>
      <w:pPr>
        <w:pStyle w:val="Normal"/>
        <w:ind w:firstLine="708"/>
        <w:jc w:val="both"/>
        <w:rPr>
          <w:sz w:val="28"/>
          <w:szCs w:val="28"/>
        </w:rPr>
      </w:pPr>
      <w:r>
        <w:rPr>
          <w:sz w:val="28"/>
          <w:szCs w:val="28"/>
        </w:rPr>
        <w:t xml:space="preserve">То есть, в течение проверяемого периода прослеживается негативная тенденция роста задолженности арендаторов по арендной плате за земельные участки.  </w:t>
      </w:r>
    </w:p>
    <w:p>
      <w:pPr>
        <w:pStyle w:val="Normal"/>
        <w:ind w:firstLine="720"/>
        <w:jc w:val="both"/>
        <w:rPr>
          <w:sz w:val="28"/>
          <w:szCs w:val="28"/>
        </w:rPr>
      </w:pPr>
      <w:r>
        <mc:AlternateContent>
          <mc:Choice Requires="wps">
            <w:drawing>
              <wp:anchor behindDoc="0" distT="0" distB="0" distL="0" distR="0" simplePos="0" locked="0" layoutInCell="1" allowOverlap="1" relativeHeight="2">
                <wp:simplePos x="0" y="0"/>
                <wp:positionH relativeFrom="column">
                  <wp:posOffset>-2164080</wp:posOffset>
                </wp:positionH>
                <wp:positionV relativeFrom="paragraph">
                  <wp:posOffset>375920</wp:posOffset>
                </wp:positionV>
                <wp:extent cx="915035" cy="114935"/>
                <wp:effectExtent l="12700" t="6985" r="6350" b="12065"/>
                <wp:wrapNone/>
                <wp:docPr id="1" name="Line 3"/>
                <a:graphic xmlns:a="http://schemas.openxmlformats.org/drawingml/2006/main">
                  <a:graphicData uri="http://schemas.microsoft.com/office/word/2010/wordprocessingShape">
                    <wps:wsp>
                      <wps:cNvSpPr/>
                      <wps:spPr>
                        <a:xfrm>
                          <a:off x="0" y="0"/>
                          <a:ext cx="914400" cy="114480"/>
                        </a:xfrm>
                        <a:prstGeom prst="line">
                          <a:avLst/>
                        </a:prstGeom>
                        <a:ln w="9360">
                          <a:solidFill>
                            <a:srgbClr val="000000"/>
                          </a:solidFill>
                          <a:round/>
                        </a:ln>
                      </wps:spPr>
                      <wps:style>
                        <a:lnRef idx="0"/>
                        <a:fillRef idx="0"/>
                        <a:effectRef idx="0"/>
                        <a:fontRef idx="minor"/>
                      </wps:style>
                      <wps:bodyPr/>
                    </wps:wsp>
                  </a:graphicData>
                </a:graphic>
              </wp:anchor>
            </w:drawing>
          </mc:Choice>
          <mc:Fallback>
            <w:pict>
              <v:line id="shape_0" from="-170.7pt,25.2pt" to="-98.75pt,34.15pt" ID="Line 3" stroked="t" style="position:absolute">
                <v:stroke color="black" weight="9360" joinstyle="round" endcap="flat"/>
                <v:fill o:detectmouseclick="t" on="false"/>
              </v:line>
            </w:pict>
          </mc:Fallback>
        </mc:AlternateContent>
      </w:r>
      <w:r>
        <w:rPr>
          <w:sz w:val="28"/>
          <w:szCs w:val="28"/>
        </w:rPr>
        <w:t xml:space="preserve">Высокий уровень задолженности по арендным платежам в бюджет города свидетельствует о неблагополучной ситуации в области арендных отношений, недостаточном уровне контроля за исполнением условий договоров аренды по перечислению арендной платы и истребованию задолженности, недостаточную претензионно-исковую работу, проводимую КУМИ. </w:t>
      </w:r>
    </w:p>
    <w:p>
      <w:pPr>
        <w:pStyle w:val="Normal"/>
        <w:ind w:firstLine="708"/>
        <w:jc w:val="both"/>
        <w:rPr>
          <w:sz w:val="28"/>
          <w:szCs w:val="28"/>
        </w:rPr>
      </w:pPr>
      <w:r>
        <w:rPr>
          <w:sz w:val="28"/>
          <w:szCs w:val="28"/>
        </w:rPr>
      </w:r>
    </w:p>
    <w:p>
      <w:pPr>
        <w:pStyle w:val="Normal"/>
        <w:ind w:firstLine="708"/>
        <w:jc w:val="both"/>
        <w:rPr>
          <w:sz w:val="28"/>
          <w:szCs w:val="28"/>
        </w:rPr>
      </w:pPr>
      <w:r>
        <w:rPr>
          <w:sz w:val="28"/>
          <w:szCs w:val="28"/>
        </w:rPr>
        <w:t>Выводы:</w:t>
      </w:r>
    </w:p>
    <w:p>
      <w:pPr>
        <w:pStyle w:val="Normal"/>
        <w:spacing w:before="120" w:after="0"/>
        <w:ind w:firstLine="851"/>
        <w:jc w:val="both"/>
        <w:rPr>
          <w:sz w:val="28"/>
          <w:szCs w:val="28"/>
        </w:rPr>
      </w:pPr>
      <w:r>
        <w:rPr>
          <w:sz w:val="28"/>
          <w:szCs w:val="28"/>
        </w:rPr>
        <w:t xml:space="preserve">1. В нарушении пункта 2, абзаца 1,2 Статьей 160.1. Бюджетного Кодекса Российской Федерации работа по начислению, полнотой и своевременностью взыскания платежей в бюджет города пеней и штрафов, что связано с неиспользованием технических возможностей программного продукта SAUMI в полном объеме. </w:t>
      </w:r>
    </w:p>
    <w:p>
      <w:pPr>
        <w:pStyle w:val="Normal"/>
        <w:ind w:firstLine="708"/>
        <w:jc w:val="both"/>
        <w:rPr>
          <w:sz w:val="28"/>
          <w:szCs w:val="28"/>
        </w:rPr>
      </w:pPr>
      <w:r>
        <w:rPr>
          <w:sz w:val="28"/>
          <w:szCs w:val="28"/>
        </w:rPr>
        <w:t>2.  Сверка расчетов по арендной плате для выявления реальной задолженности арендаторов перед Комитетом по управлению муниципальным имуществом города Канска. Акты сверок с арендаторами составляются,                    но не в полном объеме, только по предъявлению акта сверки арендатором.</w:t>
      </w:r>
    </w:p>
    <w:p>
      <w:pPr>
        <w:pStyle w:val="Normal"/>
        <w:ind w:firstLine="709"/>
        <w:jc w:val="both"/>
        <w:rPr>
          <w:sz w:val="28"/>
          <w:szCs w:val="28"/>
        </w:rPr>
      </w:pPr>
      <w:r>
        <w:rPr>
          <w:sz w:val="28"/>
          <w:szCs w:val="28"/>
        </w:rPr>
        <w:t xml:space="preserve">3. </w:t>
      </w:r>
      <w:r>
        <w:rPr/>
        <w:t>В</w:t>
      </w:r>
      <w:r>
        <w:rPr>
          <w:sz w:val="28"/>
          <w:szCs w:val="28"/>
        </w:rPr>
        <w:t xml:space="preserve"> течение проверяемого периода прослеживается негативная тенденция роста задолженности арендаторов по арендной плате за земельные участки (в сумме 2 145 000,00).</w:t>
      </w:r>
    </w:p>
    <w:p>
      <w:pPr>
        <w:pStyle w:val="Normal"/>
        <w:ind w:firstLine="708"/>
        <w:jc w:val="both"/>
        <w:rPr>
          <w:sz w:val="28"/>
          <w:szCs w:val="28"/>
        </w:rPr>
      </w:pPr>
      <w:r>
        <w:rPr>
          <w:sz w:val="28"/>
          <w:szCs w:val="28"/>
        </w:rPr>
        <w:t xml:space="preserve">4. Результаты проверки и анализа свидетельствуют, что КУМИ проводилась недостаточная работа по принятию мер к полному                                               и своевременному поступлению арендных платежей, осуществлению мероприятий по начислению и взиманию денежных средств за фактическое использование земельных участков. </w:t>
      </w:r>
    </w:p>
    <w:p>
      <w:pPr>
        <w:pStyle w:val="Normal"/>
        <w:ind w:firstLine="708"/>
        <w:jc w:val="both"/>
        <w:rPr>
          <w:sz w:val="28"/>
          <w:szCs w:val="28"/>
        </w:rPr>
      </w:pPr>
      <w:r>
        <w:rPr>
          <w:sz w:val="28"/>
          <w:szCs w:val="28"/>
        </w:rPr>
        <w:t>5. В Учреждении не в полном объеме используются технические возможности программного продукта SAUMI.</w:t>
      </w:r>
    </w:p>
    <w:p>
      <w:pPr>
        <w:pStyle w:val="Normal"/>
        <w:tabs>
          <w:tab w:val="clear" w:pos="708"/>
          <w:tab w:val="left" w:pos="851" w:leader="none"/>
          <w:tab w:val="left" w:pos="1134" w:leader="none"/>
        </w:tabs>
        <w:ind w:firstLine="709"/>
        <w:jc w:val="both"/>
        <w:rPr>
          <w:sz w:val="28"/>
          <w:szCs w:val="28"/>
        </w:rPr>
      </w:pPr>
      <w:r>
        <w:rPr>
          <w:sz w:val="28"/>
          <w:szCs w:val="28"/>
        </w:rPr>
        <w:t>6. Претензионно-исковая работа Комитет по управлению муниципальным имуществом города Канска</w:t>
      </w:r>
      <w:r>
        <w:rPr>
          <w:rFonts w:eastAsia="Calibri" w:eastAsiaTheme="minorHAnsi"/>
          <w:sz w:val="28"/>
          <w:szCs w:val="28"/>
          <w:lang w:eastAsia="en-US"/>
        </w:rPr>
        <w:t xml:space="preserve"> </w:t>
      </w:r>
      <w:r>
        <w:rPr>
          <w:sz w:val="28"/>
          <w:szCs w:val="28"/>
        </w:rPr>
        <w:t xml:space="preserve">признана недостаточно эффективной. </w:t>
      </w:r>
    </w:p>
    <w:p>
      <w:pPr>
        <w:pStyle w:val="Normal"/>
        <w:ind w:firstLine="708"/>
        <w:jc w:val="both"/>
        <w:rPr>
          <w:sz w:val="28"/>
          <w:szCs w:val="28"/>
        </w:rPr>
      </w:pPr>
      <w:r>
        <w:rPr>
          <w:sz w:val="28"/>
          <w:szCs w:val="28"/>
        </w:rPr>
      </w:r>
    </w:p>
    <w:p>
      <w:pPr>
        <w:pStyle w:val="Normal"/>
        <w:ind w:firstLine="708"/>
        <w:jc w:val="both"/>
        <w:rPr>
          <w:sz w:val="28"/>
          <w:szCs w:val="28"/>
        </w:rPr>
      </w:pPr>
      <w:r>
        <w:rPr>
          <w:sz w:val="28"/>
          <w:szCs w:val="28"/>
        </w:rPr>
      </w:r>
    </w:p>
    <w:p>
      <w:pPr>
        <w:pStyle w:val="Normal"/>
        <w:jc w:val="both"/>
        <w:rPr>
          <w:sz w:val="28"/>
          <w:szCs w:val="28"/>
        </w:rPr>
      </w:pPr>
      <w:r>
        <w:rPr>
          <w:sz w:val="28"/>
          <w:szCs w:val="28"/>
        </w:rPr>
        <w:t xml:space="preserve">Инспектор Контрольно-счетной </w:t>
      </w:r>
    </w:p>
    <w:p>
      <w:pPr>
        <w:pStyle w:val="Normal"/>
        <w:jc w:val="both"/>
        <w:rPr>
          <w:sz w:val="28"/>
          <w:szCs w:val="28"/>
        </w:rPr>
      </w:pPr>
      <w:r>
        <w:rPr>
          <w:sz w:val="28"/>
          <w:szCs w:val="28"/>
        </w:rPr>
        <w:t>Комиссии                                                    _____________    С.И. Рубан</w:t>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t>С актом ознакомлен:</w:t>
      </w:r>
    </w:p>
    <w:p>
      <w:pPr>
        <w:pStyle w:val="Normal"/>
        <w:jc w:val="both"/>
        <w:rPr>
          <w:sz w:val="28"/>
          <w:szCs w:val="28"/>
        </w:rPr>
      </w:pPr>
      <w:r>
        <w:rPr>
          <w:sz w:val="28"/>
          <w:szCs w:val="28"/>
        </w:rPr>
      </w:r>
    </w:p>
    <w:p>
      <w:pPr>
        <w:pStyle w:val="Normal"/>
        <w:jc w:val="both"/>
        <w:rPr>
          <w:sz w:val="28"/>
          <w:szCs w:val="28"/>
        </w:rPr>
      </w:pPr>
      <w:r>
        <w:rPr>
          <w:sz w:val="28"/>
          <w:szCs w:val="28"/>
        </w:rPr>
        <w:t xml:space="preserve">Руководитель комитета по управлению </w:t>
      </w:r>
    </w:p>
    <w:p>
      <w:pPr>
        <w:pStyle w:val="Normal"/>
        <w:jc w:val="both"/>
        <w:rPr>
          <w:sz w:val="28"/>
          <w:szCs w:val="28"/>
        </w:rPr>
      </w:pPr>
      <w:r>
        <w:rPr>
          <w:sz w:val="28"/>
          <w:szCs w:val="28"/>
        </w:rPr>
        <w:t xml:space="preserve">муниципальным имуществом </w:t>
      </w:r>
    </w:p>
    <w:p>
      <w:pPr>
        <w:pStyle w:val="Normal"/>
        <w:jc w:val="both"/>
        <w:rPr>
          <w:sz w:val="28"/>
          <w:szCs w:val="28"/>
        </w:rPr>
      </w:pPr>
      <w:r>
        <w:rPr>
          <w:sz w:val="28"/>
          <w:szCs w:val="28"/>
        </w:rPr>
        <w:t xml:space="preserve">города Канска                                           _____________ А.В. Букалов                     </w:t>
      </w:r>
    </w:p>
    <w:p>
      <w:pPr>
        <w:pStyle w:val="Normal"/>
        <w:ind w:firstLine="708"/>
        <w:jc w:val="both"/>
        <w:rPr>
          <w:sz w:val="28"/>
          <w:szCs w:val="28"/>
        </w:rPr>
      </w:pPr>
      <w:r>
        <w:rPr>
          <w:sz w:val="28"/>
          <w:szCs w:val="28"/>
        </w:rPr>
      </w:r>
    </w:p>
    <w:p>
      <w:pPr>
        <w:pStyle w:val="Normal"/>
        <w:tabs>
          <w:tab w:val="clear" w:pos="708"/>
          <w:tab w:val="left" w:pos="1134" w:leader="none"/>
        </w:tabs>
        <w:jc w:val="both"/>
        <w:rPr>
          <w:sz w:val="28"/>
          <w:szCs w:val="28"/>
        </w:rPr>
      </w:pPr>
      <w:r>
        <w:rPr>
          <w:sz w:val="28"/>
          <w:szCs w:val="28"/>
        </w:rPr>
      </w:r>
    </w:p>
    <w:p>
      <w:pPr>
        <w:pStyle w:val="Normal"/>
        <w:tabs>
          <w:tab w:val="clear" w:pos="708"/>
          <w:tab w:val="left" w:pos="1134" w:leader="none"/>
        </w:tabs>
        <w:jc w:val="both"/>
        <w:rPr>
          <w:sz w:val="28"/>
          <w:szCs w:val="28"/>
        </w:rPr>
      </w:pPr>
      <w:r>
        <w:rPr>
          <w:sz w:val="28"/>
          <w:szCs w:val="28"/>
        </w:rPr>
        <w:t>Копию акта получил:</w:t>
      </w:r>
    </w:p>
    <w:p>
      <w:pPr>
        <w:pStyle w:val="Normal"/>
        <w:tabs>
          <w:tab w:val="clear" w:pos="708"/>
          <w:tab w:val="left" w:pos="1134" w:leader="none"/>
        </w:tabs>
        <w:jc w:val="both"/>
        <w:rPr>
          <w:sz w:val="28"/>
          <w:szCs w:val="28"/>
        </w:rPr>
      </w:pPr>
      <w:r>
        <w:rPr>
          <w:sz w:val="28"/>
          <w:szCs w:val="28"/>
        </w:rPr>
      </w:r>
    </w:p>
    <w:p>
      <w:pPr>
        <w:pStyle w:val="Normal"/>
        <w:tabs>
          <w:tab w:val="clear" w:pos="708"/>
          <w:tab w:val="left" w:pos="1134" w:leader="none"/>
        </w:tabs>
        <w:jc w:val="both"/>
        <w:rPr>
          <w:sz w:val="28"/>
          <w:szCs w:val="28"/>
        </w:rPr>
      </w:pPr>
      <w:r>
        <w:rPr>
          <w:sz w:val="28"/>
          <w:szCs w:val="28"/>
        </w:rPr>
        <w:t xml:space="preserve">____________________     ___________       __________________________ </w:t>
      </w:r>
    </w:p>
    <w:p>
      <w:pPr>
        <w:pStyle w:val="Normal"/>
        <w:tabs>
          <w:tab w:val="clear" w:pos="708"/>
          <w:tab w:val="left" w:pos="1134" w:leader="none"/>
        </w:tabs>
        <w:jc w:val="both"/>
        <w:rPr>
          <w:sz w:val="28"/>
          <w:szCs w:val="28"/>
        </w:rPr>
      </w:pPr>
      <w:r>
        <w:rPr>
          <w:sz w:val="28"/>
          <w:szCs w:val="28"/>
        </w:rPr>
        <w:t xml:space="preserve">  </w:t>
      </w:r>
      <w:r>
        <w:rPr>
          <w:sz w:val="28"/>
          <w:szCs w:val="28"/>
        </w:rPr>
        <w:t>(должность)                   (подпись)                      (расшифровка подписи)</w:t>
      </w:r>
    </w:p>
    <w:p>
      <w:pPr>
        <w:pStyle w:val="Normal"/>
        <w:tabs>
          <w:tab w:val="clear" w:pos="708"/>
          <w:tab w:val="left" w:pos="1134" w:leader="none"/>
        </w:tabs>
        <w:jc w:val="both"/>
        <w:rPr/>
      </w:pPr>
      <w:r>
        <w:rPr/>
      </w:r>
    </w:p>
    <w:sectPr>
      <w:headerReference w:type="default" r:id="rId3"/>
      <w:headerReference w:type="first" r:id="rId4"/>
      <w:footerReference w:type="default" r:id="rId5"/>
      <w:type w:val="nextPage"/>
      <w:pgSz w:w="11906" w:h="16838"/>
      <w:pgMar w:left="1701" w:right="851" w:header="426" w:top="483" w:footer="709" w:bottom="766" w:gutter="0"/>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swiss"/>
    <w:pitch w:val="variable"/>
  </w:font>
  <w:font w:name="Arial">
    <w:charset w:val="cc"/>
    <w:family w:val="roman"/>
    <w:pitch w:val="variable"/>
  </w:font>
  <w:font w:name="Cambria">
    <w:charset w:val="cc"/>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center"/>
      <w:rPr/>
    </w:pPr>
    <w:r>
      <w:rPr/>
    </w:r>
  </w:p>
  <w:p>
    <w:pPr>
      <w:pStyle w:val="Style33"/>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344241479"/>
    </w:sdtPr>
    <w:sdtContent>
      <w:p>
        <w:pPr>
          <w:pStyle w:val="Style32"/>
          <w:jc w:val="center"/>
          <w:rPr/>
        </w:pPr>
        <w:r>
          <w:rPr/>
          <w:fldChar w:fldCharType="begin"/>
        </w:r>
        <w:r>
          <w:rPr/>
          <w:instrText> PAGE </w:instrText>
        </w:r>
        <w:r>
          <w:rPr/>
          <w:fldChar w:fldCharType="separate"/>
        </w:r>
        <w:r>
          <w:rPr/>
          <w:t>20</w:t>
        </w:r>
        <w:r>
          <w:rPr/>
          <w:fldChar w:fldCharType="end"/>
        </w:r>
      </w:p>
    </w:sdtContent>
  </w:sdt>
  <w:p>
    <w:pPr>
      <w:pStyle w:val="Style32"/>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jc w:val="center"/>
      <w:rPr/>
    </w:pPr>
    <w:r>
      <w:rPr/>
    </w:r>
  </w:p>
  <w:p>
    <w:pPr>
      <w:pStyle w:val="Style32"/>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1260" w:hanging="360"/>
      </w:pPr>
      <w:rPr>
        <w:rFonts w:ascii="Symbol" w:hAnsi="Symbol" w:cs="Symbol" w:hint="default"/>
      </w:rPr>
    </w:lvl>
    <w:lvl w:ilvl="1">
      <w:start w:val="1"/>
      <w:numFmt w:val="bullet"/>
      <w:lvlText w:val="o"/>
      <w:lvlJc w:val="left"/>
      <w:pPr>
        <w:ind w:left="1980" w:hanging="360"/>
      </w:pPr>
      <w:rPr>
        <w:rFonts w:ascii="Courier New" w:hAnsi="Courier New" w:cs="Courier New" w:hint="default"/>
        <w:rFonts w:cs="Courier New"/>
      </w:rPr>
    </w:lvl>
    <w:lvl w:ilvl="2">
      <w:start w:val="1"/>
      <w:numFmt w:val="bullet"/>
      <w:lvlText w:val=""/>
      <w:lvlJc w:val="left"/>
      <w:pPr>
        <w:ind w:left="2700" w:hanging="360"/>
      </w:pPr>
      <w:rPr>
        <w:rFonts w:ascii="Wingdings" w:hAnsi="Wingdings" w:cs="Wingdings" w:hint="default"/>
      </w:rPr>
    </w:lvl>
    <w:lvl w:ilvl="3">
      <w:start w:val="1"/>
      <w:numFmt w:val="bullet"/>
      <w:lvlText w:val=""/>
      <w:lvlJc w:val="left"/>
      <w:pPr>
        <w:ind w:left="3420" w:hanging="360"/>
      </w:pPr>
      <w:rPr>
        <w:rFonts w:ascii="Symbol" w:hAnsi="Symbol" w:cs="Symbol" w:hint="default"/>
      </w:rPr>
    </w:lvl>
    <w:lvl w:ilvl="4">
      <w:start w:val="1"/>
      <w:numFmt w:val="bullet"/>
      <w:lvlText w:val="o"/>
      <w:lvlJc w:val="left"/>
      <w:pPr>
        <w:ind w:left="4140" w:hanging="360"/>
      </w:pPr>
      <w:rPr>
        <w:rFonts w:ascii="Courier New" w:hAnsi="Courier New" w:cs="Courier New" w:hint="default"/>
        <w:rFonts w:cs="Courier New"/>
      </w:rPr>
    </w:lvl>
    <w:lvl w:ilvl="5">
      <w:start w:val="1"/>
      <w:numFmt w:val="bullet"/>
      <w:lvlText w:val=""/>
      <w:lvlJc w:val="left"/>
      <w:pPr>
        <w:ind w:left="4860" w:hanging="360"/>
      </w:pPr>
      <w:rPr>
        <w:rFonts w:ascii="Wingdings" w:hAnsi="Wingdings" w:cs="Wingdings" w:hint="default"/>
      </w:rPr>
    </w:lvl>
    <w:lvl w:ilvl="6">
      <w:start w:val="1"/>
      <w:numFmt w:val="bullet"/>
      <w:lvlText w:val=""/>
      <w:lvlJc w:val="left"/>
      <w:pPr>
        <w:ind w:left="5580" w:hanging="360"/>
      </w:pPr>
      <w:rPr>
        <w:rFonts w:ascii="Symbol" w:hAnsi="Symbol" w:cs="Symbol" w:hint="default"/>
      </w:rPr>
    </w:lvl>
    <w:lvl w:ilvl="7">
      <w:start w:val="1"/>
      <w:numFmt w:val="bullet"/>
      <w:lvlText w:val="o"/>
      <w:lvlJc w:val="left"/>
      <w:pPr>
        <w:ind w:left="6300" w:hanging="360"/>
      </w:pPr>
      <w:rPr>
        <w:rFonts w:ascii="Courier New" w:hAnsi="Courier New" w:cs="Courier New" w:hint="default"/>
        <w:rFonts w:cs="Courier New"/>
      </w:rPr>
    </w:lvl>
    <w:lvl w:ilvl="8">
      <w:start w:val="1"/>
      <w:numFmt w:val="bullet"/>
      <w:lvlText w:val=""/>
      <w:lvlJc w:val="left"/>
      <w:pPr>
        <w:ind w:left="7020" w:hanging="360"/>
      </w:pPr>
      <w:rPr>
        <w:rFonts w:ascii="Wingdings" w:hAnsi="Wingdings" w:cs="Wingdings" w:hint="default"/>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7034e"/>
    <w:pPr>
      <w:widowControl/>
      <w:bidi w:val="0"/>
      <w:jc w:val="left"/>
    </w:pPr>
    <w:rPr>
      <w:rFonts w:ascii="Times New Roman" w:hAnsi="Times New Roman" w:eastAsia="Times New Roman" w:cs="Times New Roman"/>
      <w:color w:val="auto"/>
      <w:kern w:val="0"/>
      <w:sz w:val="24"/>
      <w:szCs w:val="24"/>
      <w:lang w:val="ru-RU" w:eastAsia="ru-RU" w:bidi="ar-SA"/>
    </w:rPr>
  </w:style>
  <w:style w:type="paragraph" w:styleId="3">
    <w:name w:val="Heading 3"/>
    <w:basedOn w:val="Normal"/>
    <w:next w:val="Normal"/>
    <w:link w:val="30"/>
    <w:qFormat/>
    <w:rsid w:val="002d673f"/>
    <w:pPr>
      <w:keepNext w:val="true"/>
      <w:jc w:val="both"/>
      <w:outlineLvl w:val="2"/>
    </w:pPr>
    <w:rPr>
      <w:b/>
      <w:sz w:val="28"/>
      <w:szCs w:val="20"/>
    </w:rPr>
  </w:style>
  <w:style w:type="character" w:styleId="DefaultParagraphFont" w:default="1">
    <w:name w:val="Default Paragraph Font"/>
    <w:uiPriority w:val="1"/>
    <w:semiHidden/>
    <w:unhideWhenUsed/>
    <w:qFormat/>
    <w:rPr/>
  </w:style>
  <w:style w:type="character" w:styleId="Style13" w:customStyle="1">
    <w:name w:val="Основной текст с отступом Знак"/>
    <w:link w:val="a3"/>
    <w:qFormat/>
    <w:rsid w:val="002753be"/>
    <w:rPr>
      <w:rFonts w:ascii="Times New Roman" w:hAnsi="Times New Roman" w:eastAsia="Times New Roman" w:cs="Times New Roman"/>
      <w:sz w:val="28"/>
      <w:szCs w:val="24"/>
      <w:lang w:eastAsia="ru-RU"/>
    </w:rPr>
  </w:style>
  <w:style w:type="character" w:styleId="Strong">
    <w:name w:val="Strong"/>
    <w:uiPriority w:val="22"/>
    <w:qFormat/>
    <w:rsid w:val="008f0826"/>
    <w:rPr>
      <w:b/>
      <w:bCs/>
    </w:rPr>
  </w:style>
  <w:style w:type="character" w:styleId="Style14" w:customStyle="1">
    <w:name w:val="Текст сноски Знак"/>
    <w:link w:val="a7"/>
    <w:semiHidden/>
    <w:qFormat/>
    <w:rsid w:val="00670aff"/>
    <w:rPr>
      <w:rFonts w:ascii="Times New Roman" w:hAnsi="Times New Roman" w:eastAsia="Times New Roman"/>
      <w:sz w:val="24"/>
      <w:szCs w:val="24"/>
    </w:rPr>
  </w:style>
  <w:style w:type="character" w:styleId="Style15">
    <w:name w:val="Привязка сноски"/>
    <w:rPr>
      <w:vertAlign w:val="superscript"/>
    </w:rPr>
  </w:style>
  <w:style w:type="character" w:styleId="FootnoteCharacters">
    <w:name w:val="Footnote Characters"/>
    <w:semiHidden/>
    <w:unhideWhenUsed/>
    <w:qFormat/>
    <w:rsid w:val="00670aff"/>
    <w:rPr>
      <w:vertAlign w:val="superscript"/>
    </w:rPr>
  </w:style>
  <w:style w:type="character" w:styleId="Style16" w:customStyle="1">
    <w:name w:val="Текст выноски Знак"/>
    <w:link w:val="ab"/>
    <w:uiPriority w:val="99"/>
    <w:semiHidden/>
    <w:qFormat/>
    <w:rsid w:val="003f256d"/>
    <w:rPr>
      <w:rFonts w:ascii="Tahoma" w:hAnsi="Tahoma" w:eastAsia="Times New Roman" w:cs="Tahoma"/>
      <w:sz w:val="16"/>
      <w:szCs w:val="16"/>
    </w:rPr>
  </w:style>
  <w:style w:type="character" w:styleId="Blk" w:customStyle="1">
    <w:name w:val="blk"/>
    <w:qFormat/>
    <w:rsid w:val="00024e4e"/>
    <w:rPr/>
  </w:style>
  <w:style w:type="character" w:styleId="Style17" w:customStyle="1">
    <w:name w:val="Верхний колонтитул Знак"/>
    <w:basedOn w:val="DefaultParagraphFont"/>
    <w:link w:val="ae"/>
    <w:uiPriority w:val="99"/>
    <w:qFormat/>
    <w:rsid w:val="000771be"/>
    <w:rPr>
      <w:rFonts w:ascii="Times New Roman" w:hAnsi="Times New Roman" w:eastAsia="Times New Roman"/>
      <w:sz w:val="24"/>
      <w:szCs w:val="24"/>
    </w:rPr>
  </w:style>
  <w:style w:type="character" w:styleId="Style18" w:customStyle="1">
    <w:name w:val="Нижний колонтитул Знак"/>
    <w:basedOn w:val="DefaultParagraphFont"/>
    <w:link w:val="af0"/>
    <w:uiPriority w:val="99"/>
    <w:qFormat/>
    <w:rsid w:val="000771be"/>
    <w:rPr>
      <w:rFonts w:ascii="Times New Roman" w:hAnsi="Times New Roman" w:eastAsia="Times New Roman"/>
      <w:sz w:val="24"/>
      <w:szCs w:val="24"/>
    </w:rPr>
  </w:style>
  <w:style w:type="character" w:styleId="Linenumber">
    <w:name w:val="line number"/>
    <w:basedOn w:val="DefaultParagraphFont"/>
    <w:uiPriority w:val="99"/>
    <w:semiHidden/>
    <w:unhideWhenUsed/>
    <w:qFormat/>
    <w:rsid w:val="000771be"/>
    <w:rPr/>
  </w:style>
  <w:style w:type="character" w:styleId="Style19">
    <w:name w:val="Интернет-ссылка"/>
    <w:basedOn w:val="DefaultParagraphFont"/>
    <w:uiPriority w:val="99"/>
    <w:unhideWhenUsed/>
    <w:rsid w:val="00f66832"/>
    <w:rPr>
      <w:color w:val="0000FF" w:themeColor="hyperlink"/>
      <w:u w:val="single"/>
    </w:rPr>
  </w:style>
  <w:style w:type="character" w:styleId="Style20" w:customStyle="1">
    <w:name w:val="Текст концевой сноски Знак"/>
    <w:basedOn w:val="DefaultParagraphFont"/>
    <w:link w:val="af5"/>
    <w:uiPriority w:val="99"/>
    <w:semiHidden/>
    <w:qFormat/>
    <w:rsid w:val="00820e59"/>
    <w:rPr>
      <w:rFonts w:ascii="Times New Roman" w:hAnsi="Times New Roman" w:eastAsia="Times New Roman"/>
    </w:rPr>
  </w:style>
  <w:style w:type="character" w:styleId="Style21">
    <w:name w:val="Привязка концевой сноски"/>
    <w:rPr>
      <w:vertAlign w:val="superscript"/>
    </w:rPr>
  </w:style>
  <w:style w:type="character" w:styleId="EndnoteCharacters">
    <w:name w:val="Endnote Characters"/>
    <w:basedOn w:val="DefaultParagraphFont"/>
    <w:uiPriority w:val="99"/>
    <w:semiHidden/>
    <w:unhideWhenUsed/>
    <w:qFormat/>
    <w:rsid w:val="00820e59"/>
    <w:rPr>
      <w:vertAlign w:val="superscript"/>
    </w:rPr>
  </w:style>
  <w:style w:type="character" w:styleId="Annotationreference">
    <w:name w:val="annotation reference"/>
    <w:basedOn w:val="DefaultParagraphFont"/>
    <w:uiPriority w:val="99"/>
    <w:semiHidden/>
    <w:unhideWhenUsed/>
    <w:qFormat/>
    <w:rsid w:val="00f127aa"/>
    <w:rPr>
      <w:sz w:val="16"/>
      <w:szCs w:val="16"/>
    </w:rPr>
  </w:style>
  <w:style w:type="character" w:styleId="Style22" w:customStyle="1">
    <w:name w:val="Текст примечания Знак"/>
    <w:basedOn w:val="DefaultParagraphFont"/>
    <w:link w:val="af9"/>
    <w:uiPriority w:val="99"/>
    <w:semiHidden/>
    <w:qFormat/>
    <w:rsid w:val="00f127aa"/>
    <w:rPr>
      <w:rFonts w:ascii="Times New Roman" w:hAnsi="Times New Roman" w:eastAsia="Times New Roman"/>
    </w:rPr>
  </w:style>
  <w:style w:type="character" w:styleId="Style23" w:customStyle="1">
    <w:name w:val="Тема примечания Знак"/>
    <w:basedOn w:val="Style22"/>
    <w:link w:val="afb"/>
    <w:uiPriority w:val="99"/>
    <w:semiHidden/>
    <w:qFormat/>
    <w:rsid w:val="00f127aa"/>
    <w:rPr>
      <w:rFonts w:ascii="Times New Roman" w:hAnsi="Times New Roman" w:eastAsia="Times New Roman"/>
      <w:b/>
      <w:bCs/>
    </w:rPr>
  </w:style>
  <w:style w:type="character" w:styleId="Appleconvertedspace" w:customStyle="1">
    <w:name w:val="apple-converted-space"/>
    <w:basedOn w:val="DefaultParagraphFont"/>
    <w:qFormat/>
    <w:rsid w:val="00582738"/>
    <w:rPr/>
  </w:style>
  <w:style w:type="character" w:styleId="31" w:customStyle="1">
    <w:name w:val="Заголовок 3 Знак"/>
    <w:basedOn w:val="DefaultParagraphFont"/>
    <w:link w:val="3"/>
    <w:qFormat/>
    <w:rsid w:val="002d673f"/>
    <w:rPr>
      <w:rFonts w:ascii="Times New Roman" w:hAnsi="Times New Roman" w:eastAsia="Times New Roman"/>
      <w:b/>
      <w:sz w:val="28"/>
    </w:rPr>
  </w:style>
  <w:style w:type="paragraph" w:styleId="Style24">
    <w:name w:val="Заголовок"/>
    <w:basedOn w:val="Normal"/>
    <w:next w:val="Style25"/>
    <w:qFormat/>
    <w:pPr>
      <w:keepNext w:val="true"/>
      <w:spacing w:before="240" w:after="120"/>
    </w:pPr>
    <w:rPr>
      <w:rFonts w:ascii="Liberation Sans" w:hAnsi="Liberation Sans" w:eastAsia="Microsoft YaHei" w:cs="Arial"/>
      <w:sz w:val="28"/>
      <w:szCs w:val="28"/>
    </w:rPr>
  </w:style>
  <w:style w:type="paragraph" w:styleId="Style25">
    <w:name w:val="Body Text"/>
    <w:basedOn w:val="Normal"/>
    <w:pPr>
      <w:spacing w:lineRule="auto" w:line="276" w:before="0" w:after="140"/>
    </w:pPr>
    <w:rPr/>
  </w:style>
  <w:style w:type="paragraph" w:styleId="Style26">
    <w:name w:val="List"/>
    <w:basedOn w:val="Style25"/>
    <w:pPr/>
    <w:rPr>
      <w:rFonts w:cs="Arial"/>
    </w:rPr>
  </w:style>
  <w:style w:type="paragraph" w:styleId="Style27">
    <w:name w:val="Caption"/>
    <w:basedOn w:val="Normal"/>
    <w:qFormat/>
    <w:pPr>
      <w:suppressLineNumbers/>
      <w:spacing w:before="120" w:after="120"/>
    </w:pPr>
    <w:rPr>
      <w:rFonts w:cs="Arial"/>
      <w:i/>
      <w:iCs/>
      <w:sz w:val="24"/>
      <w:szCs w:val="24"/>
    </w:rPr>
  </w:style>
  <w:style w:type="paragraph" w:styleId="Style28">
    <w:name w:val="Указатель"/>
    <w:basedOn w:val="Normal"/>
    <w:qFormat/>
    <w:pPr>
      <w:suppressLineNumbers/>
    </w:pPr>
    <w:rPr>
      <w:rFonts w:cs="Arial"/>
    </w:rPr>
  </w:style>
  <w:style w:type="paragraph" w:styleId="Style29">
    <w:name w:val="Body Text Indent"/>
    <w:basedOn w:val="Normal"/>
    <w:link w:val="a4"/>
    <w:rsid w:val="002753be"/>
    <w:pPr>
      <w:ind w:firstLine="708"/>
      <w:jc w:val="both"/>
    </w:pPr>
    <w:rPr>
      <w:sz w:val="28"/>
      <w:lang w:val="x-none"/>
    </w:rPr>
  </w:style>
  <w:style w:type="paragraph" w:styleId="NormalWeb">
    <w:name w:val="Normal (Web)"/>
    <w:basedOn w:val="Normal"/>
    <w:uiPriority w:val="99"/>
    <w:qFormat/>
    <w:rsid w:val="008f0826"/>
    <w:pPr>
      <w:spacing w:before="0" w:after="75"/>
    </w:pPr>
    <w:rPr/>
  </w:style>
  <w:style w:type="paragraph" w:styleId="Default" w:customStyle="1">
    <w:name w:val="Default"/>
    <w:qFormat/>
    <w:rsid w:val="003c1d48"/>
    <w:pPr>
      <w:widowControl/>
      <w:bidi w:val="0"/>
      <w:jc w:val="left"/>
    </w:pPr>
    <w:rPr>
      <w:rFonts w:ascii="Times New Roman" w:hAnsi="Times New Roman" w:eastAsia="Times New Roman" w:cs="Times New Roman"/>
      <w:color w:val="000000"/>
      <w:kern w:val="0"/>
      <w:sz w:val="24"/>
      <w:szCs w:val="24"/>
      <w:lang w:val="ru-RU" w:eastAsia="ru-RU" w:bidi="ar-SA"/>
    </w:rPr>
  </w:style>
  <w:style w:type="paragraph" w:styleId="Style30">
    <w:name w:val="Footnote Text"/>
    <w:basedOn w:val="Normal"/>
    <w:link w:val="a8"/>
    <w:semiHidden/>
    <w:unhideWhenUsed/>
    <w:rsid w:val="00670aff"/>
    <w:pPr/>
    <w:rPr>
      <w:lang w:val="x-none" w:eastAsia="x-none"/>
    </w:rPr>
  </w:style>
  <w:style w:type="paragraph" w:styleId="BalloonText">
    <w:name w:val="Balloon Text"/>
    <w:basedOn w:val="Normal"/>
    <w:link w:val="ac"/>
    <w:uiPriority w:val="99"/>
    <w:semiHidden/>
    <w:unhideWhenUsed/>
    <w:qFormat/>
    <w:rsid w:val="003f256d"/>
    <w:pPr/>
    <w:rPr>
      <w:rFonts w:ascii="Tahoma" w:hAnsi="Tahoma" w:cs="Tahoma"/>
      <w:sz w:val="16"/>
      <w:szCs w:val="16"/>
    </w:rPr>
  </w:style>
  <w:style w:type="paragraph" w:styleId="ListParagraph">
    <w:name w:val="List Paragraph"/>
    <w:basedOn w:val="Normal"/>
    <w:uiPriority w:val="34"/>
    <w:qFormat/>
    <w:rsid w:val="00bc3053"/>
    <w:pPr>
      <w:spacing w:before="0" w:after="0"/>
      <w:ind w:left="720" w:hanging="0"/>
      <w:contextualSpacing/>
    </w:pPr>
    <w:rPr/>
  </w:style>
  <w:style w:type="paragraph" w:styleId="Style31">
    <w:name w:val="Верхний и нижний колонтитулы"/>
    <w:basedOn w:val="Normal"/>
    <w:qFormat/>
    <w:pPr/>
    <w:rPr/>
  </w:style>
  <w:style w:type="paragraph" w:styleId="Style32">
    <w:name w:val="Header"/>
    <w:basedOn w:val="Normal"/>
    <w:link w:val="af"/>
    <w:uiPriority w:val="99"/>
    <w:unhideWhenUsed/>
    <w:rsid w:val="000771be"/>
    <w:pPr>
      <w:tabs>
        <w:tab w:val="clear" w:pos="708"/>
        <w:tab w:val="center" w:pos="4677" w:leader="none"/>
        <w:tab w:val="right" w:pos="9355" w:leader="none"/>
      </w:tabs>
    </w:pPr>
    <w:rPr/>
  </w:style>
  <w:style w:type="paragraph" w:styleId="Style33">
    <w:name w:val="Footer"/>
    <w:basedOn w:val="Normal"/>
    <w:link w:val="af1"/>
    <w:uiPriority w:val="99"/>
    <w:unhideWhenUsed/>
    <w:rsid w:val="000771be"/>
    <w:pPr>
      <w:tabs>
        <w:tab w:val="clear" w:pos="708"/>
        <w:tab w:val="center" w:pos="4677" w:leader="none"/>
        <w:tab w:val="right" w:pos="9355" w:leader="none"/>
      </w:tabs>
    </w:pPr>
    <w:rPr/>
  </w:style>
  <w:style w:type="paragraph" w:styleId="Style34" w:customStyle="1">
    <w:name w:val="Знак"/>
    <w:basedOn w:val="Normal"/>
    <w:qFormat/>
    <w:rsid w:val="00b45a16"/>
    <w:pPr>
      <w:spacing w:beforeAutospacing="1" w:afterAutospacing="1"/>
    </w:pPr>
    <w:rPr>
      <w:rFonts w:ascii="Tahoma" w:hAnsi="Tahoma" w:cs="Tahoma"/>
      <w:sz w:val="20"/>
      <w:szCs w:val="20"/>
      <w:lang w:val="en-US" w:eastAsia="en-US"/>
    </w:rPr>
  </w:style>
  <w:style w:type="paragraph" w:styleId="ConsNormal" w:customStyle="1">
    <w:name w:val="ConsNormal"/>
    <w:qFormat/>
    <w:rsid w:val="00ef1d67"/>
    <w:pPr>
      <w:widowControl w:val="false"/>
      <w:bidi w:val="0"/>
      <w:ind w:firstLine="720"/>
      <w:jc w:val="left"/>
    </w:pPr>
    <w:rPr>
      <w:rFonts w:ascii="Arial" w:hAnsi="Arial" w:eastAsia="Times New Roman" w:cs="Arial"/>
      <w:color w:val="auto"/>
      <w:kern w:val="0"/>
      <w:sz w:val="24"/>
      <w:szCs w:val="20"/>
      <w:lang w:val="ru-RU" w:eastAsia="ru-RU" w:bidi="ar-SA"/>
    </w:rPr>
  </w:style>
  <w:style w:type="paragraph" w:styleId="Style35">
    <w:name w:val="Endnote Text"/>
    <w:basedOn w:val="Normal"/>
    <w:link w:val="af6"/>
    <w:uiPriority w:val="99"/>
    <w:semiHidden/>
    <w:unhideWhenUsed/>
    <w:rsid w:val="00820e59"/>
    <w:pPr/>
    <w:rPr>
      <w:sz w:val="20"/>
      <w:szCs w:val="20"/>
    </w:rPr>
  </w:style>
  <w:style w:type="paragraph" w:styleId="Annotationtext">
    <w:name w:val="annotation text"/>
    <w:basedOn w:val="Normal"/>
    <w:link w:val="afa"/>
    <w:uiPriority w:val="99"/>
    <w:semiHidden/>
    <w:unhideWhenUsed/>
    <w:qFormat/>
    <w:rsid w:val="00f127aa"/>
    <w:pPr/>
    <w:rPr>
      <w:sz w:val="20"/>
      <w:szCs w:val="20"/>
    </w:rPr>
  </w:style>
  <w:style w:type="paragraph" w:styleId="Annotationsubject">
    <w:name w:val="annotation subject"/>
    <w:basedOn w:val="Annotationtext"/>
    <w:next w:val="Annotationtext"/>
    <w:link w:val="afc"/>
    <w:uiPriority w:val="99"/>
    <w:semiHidden/>
    <w:unhideWhenUsed/>
    <w:qFormat/>
    <w:rsid w:val="00f127aa"/>
    <w:pPr/>
    <w:rPr>
      <w:b/>
      <w:bCs/>
    </w:rPr>
  </w:style>
  <w:style w:type="numbering" w:styleId="NoList" w:default="1">
    <w:name w:val="No List"/>
    <w:uiPriority w:val="99"/>
    <w:semiHidden/>
    <w:unhideWhenUsed/>
    <w:qFormat/>
  </w:style>
  <w:style w:type="numbering" w:styleId="1" w:customStyle="1">
    <w:name w:val="Нет списка1"/>
    <w:uiPriority w:val="99"/>
    <w:semiHidden/>
    <w:unhideWhenUsed/>
    <w:qFormat/>
    <w:rsid w:val="00582738"/>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a">
    <w:name w:val="Table Grid"/>
    <w:basedOn w:val="a1"/>
    <w:uiPriority w:val="59"/>
    <w:rsid w:val="004e362d"/>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0">
    <w:name w:val="Сетка таблицы1"/>
    <w:basedOn w:val="a1"/>
    <w:uiPriority w:val="59"/>
    <w:rsid w:val="001a256e"/>
    <w:rPr>
      <w:rFonts w:asciiTheme="minorHAnsi" w:hAnsiTheme="minorHAnsi" w:eastAsiaTheme="minorHAnsi" w:cstheme="minorBidi"/>
      <w:lang w:eastAsia="en-US"/>
      <w:sz w:val="22"/>
      <w:szCs w:val="22"/>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82C11918F85F8854370FAAC0F9DAB761C6EAC8A10EE597414E8EA90087FED5FDEBC8187F2DA7AEA1P6z6D"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75471-DCCE-4C6E-A5D5-45CD92001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4536</TotalTime>
  <Application>LibreOffice/6.3.3.2$Windows_x86 LibreOffice_project/a64200df03143b798afd1ec74a12ab50359878ed</Application>
  <Pages>20</Pages>
  <Words>5354</Words>
  <Characters>35858</Characters>
  <CharactersWithSpaces>43720</CharactersWithSpaces>
  <Paragraphs>776</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2018-01-09T06:32:00Z</dcterms:created>
  <dc:creator>rksk</dc:creator>
  <dc:description/>
  <dc:language>ru-RU</dc:language>
  <cp:lastModifiedBy/>
  <cp:lastPrinted>2018-09-12T01:34:00Z</cp:lastPrinted>
  <dcterms:modified xsi:type="dcterms:W3CDTF">2019-12-30T09:02:06Z</dcterms:modified>
  <cp:revision>124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