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bookmarkStart w:id="0" w:name="__DdeLink__1471_3430755111"/>
      <w:r>
        <w:rPr>
          <w:rFonts w:cs="Times New Roman" w:ascii="Times New Roman" w:hAnsi="Times New Roman"/>
          <w:b/>
          <w:sz w:val="28"/>
          <w:szCs w:val="28"/>
        </w:rPr>
        <w:t>Отчет</w:t>
      </w:r>
    </w:p>
    <w:p>
      <w:pPr>
        <w:pStyle w:val="Normal"/>
        <w:jc w:val="center"/>
        <w:rPr>
          <w:rFonts w:ascii="Times New Roman" w:hAnsi="Times New Roman" w:cs="Times New Roman"/>
          <w:b/>
          <w:b/>
          <w:sz w:val="28"/>
          <w:szCs w:val="28"/>
        </w:rPr>
      </w:pPr>
      <w:bookmarkStart w:id="1" w:name="__DdeLink__1471_3430755111"/>
      <w:r>
        <w:rPr>
          <w:rFonts w:cs="Times New Roman" w:ascii="Times New Roman" w:hAnsi="Times New Roman"/>
          <w:b/>
          <w:sz w:val="28"/>
          <w:szCs w:val="28"/>
        </w:rPr>
        <w:t>проверки финансово-хозяйственной деятельности Муниципального бюджетного дошкольного образовательного ДОУ «Детский сад присмотра и оздоровления № 27 «Солнышко» за 2017 год.</w:t>
      </w:r>
      <w:bookmarkEnd w:id="1"/>
    </w:p>
    <w:p>
      <w:pPr>
        <w:pStyle w:val="Normal"/>
        <w:spacing w:lineRule="auto" w:line="240" w:beforeAutospacing="1" w:after="255"/>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В соответствии с пунктом 2.1 раздела 2 плана работы Контрольно-счетной комиссии города Канска на 2017 год, утвержденного распоряжением Контрольно-счетной комиссии города Канска от 15.12.2017  № 28 распоряжения на право проведения проверки от 29.01.2018 № 2 , выданного председателем Контрольно-счетной комиссии города Канска                       Е.В. Парфеновой, инспектором С.И. Рубан с 30.01.2018 г. по 05.03.2018 г. проведена проверка финансово-хозяйственной деятельности муниципального бюджетного дошкольного образовательного ДОУ «Детский сад присмотра      и оздоровления № 27 «Солнышко» города Канска.</w:t>
      </w:r>
    </w:p>
    <w:p>
      <w:pPr>
        <w:pStyle w:val="Normal"/>
        <w:spacing w:lineRule="auto" w:line="240" w:beforeAutospacing="1" w:after="255"/>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Период проверки: 2017 год.</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b/>
          <w:color w:val="222222"/>
          <w:sz w:val="28"/>
          <w:szCs w:val="28"/>
        </w:rPr>
        <w:t>Цель проверки:</w:t>
      </w:r>
      <w:r>
        <w:rPr>
          <w:rFonts w:eastAsia="Times New Roman" w:cs="Times New Roman" w:ascii="Times New Roman" w:hAnsi="Times New Roman"/>
          <w:color w:val="222222"/>
          <w:sz w:val="28"/>
          <w:szCs w:val="28"/>
        </w:rPr>
        <w:t xml:space="preserve"> финансово-хозяйственной деятельности муниципального бюджетного дошкольного образовательного ДОУ «Детский сад присмотра и оздоровления № 27 «Солнышко» города Канска (далее – МБДОУ «Детский сад присмотра и оздоровления № 27», ДОУ).</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Проверка проведена с ведома заведующей МБДОУ «Детский сад присмотра и оздоровления № 27» Л.П. Игнатьевой и директора муниципального казенного ДОУ «Централизованная бухгалтерия                  по ведению учета в сфере образования» города Канска В.В. Фукс.</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b/>
          <w:color w:val="222222"/>
          <w:sz w:val="28"/>
          <w:szCs w:val="28"/>
        </w:rPr>
        <w:t>При проверке использовались:</w:t>
      </w:r>
      <w:r>
        <w:rPr>
          <w:rFonts w:eastAsia="Times New Roman" w:cs="Times New Roman" w:ascii="Times New Roman" w:hAnsi="Times New Roman"/>
          <w:color w:val="222222"/>
          <w:sz w:val="28"/>
          <w:szCs w:val="28"/>
        </w:rPr>
        <w:t xml:space="preserve"> устав ДОУ, план финансово-хозяйственной деятельности, первичные учетные документы, учетная политика и другие нормативные правовые документы.</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МБДОУ «Детский сад присмотра и оздоровления № 27» города Канска является некоммерческой организацией:</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организационно-правовая форма – муниципальное ДОУ;</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 </w:t>
      </w:r>
      <w:r>
        <w:rPr>
          <w:rFonts w:eastAsia="Times New Roman" w:cs="Times New Roman" w:ascii="Times New Roman" w:hAnsi="Times New Roman"/>
          <w:color w:val="222222"/>
          <w:sz w:val="28"/>
          <w:szCs w:val="28"/>
        </w:rPr>
        <w:t xml:space="preserve">тип Учреждения – бюджетное ДОУ; </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тип образовательного Учреждения – дошкольное образовательное ДОУ; </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вид Учреждения – детский сад присмотра и оздоровления.</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В проверяемом периоде ДОУ действовало на основании Устава, утвержденного 09.08.2011 № 1423 администрацией города Канска Красноярского края, согласовано с Управлением образования, комитетом     по управлению муниципальным имуществом и зарегистрированного инспекцией Федеральной налоговой службы № 8 по Красноярскому краю 19.08.2011. </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Запись о МБДОУ «Детский сад присмотра и оздоровления № 27» города Канска внесена в Единый государственный реестр юридических лиц 01.12.2002 г. за основным государственным регистрационным номером (ОГРН) 1022401360827.</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Запись неоднократно корректировалась в связи с регистрацией изменений, вносимых в учредительные документы юридического лица.</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ДОУ поставлено на учет в межрайонную инспекцию Федеральной налоговой службы № 8 по Красноярскому краю 20.10.1998 г.                             с присвоением идентификационного номера налогоплательщика (ИНН) 2450013050, код причины постановки на учет (КПП) 245001001.</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Согласно действовавшей в проверяемом периоде редакции Устава:</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ДОУ создано 01.04.1975 году, Канским хлопчатобумажным комбинатом. </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Юридический адрес и фактическое месторасположение ДОУ: 663604, г. Канск, Красноярский край, ул. Волго-Донская, дом 11.</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Функции и полномочия учредителя ДОУ осуществляет                          от имени муниципального образования осуществляет администрации города Канска Красноярского края.</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Полномочия собственника по управлению и распоряжению имуществом ДОУ от имени муниципального образования города Канска осуществляет МКУ «Комитет по управлению имуществом города Канска».</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ДОУ является юридическим лицом, самостоятельно осуществляет финансово-хозяйственную деятельность, может заключать договоры, приобретать и осуществлять имущественные и личные неимущественные права, нести обязанности.</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ДОУ вправе иметь печать, штамп, бланки со своим наименованием, зарегистрированную в установленном порядке эмблему. быть истцом                           и ответчиком в суде, имеет лицевой счет в органах казначейства или финансового органа муниципального образования города Канска.</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Предметом деятельности ДОУ является реализация основной общеобразовательной программы дошкольного образования в группах общеразвивающей и комбинированной направленности с приоритетным осуществлением деятельности по оказанию квалифицированной помощи       в коррекции недостатков речи детей.</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В качестве основных видов деятельности ДОУ определены:</w:t>
      </w:r>
    </w:p>
    <w:p>
      <w:pPr>
        <w:pStyle w:val="Normal"/>
        <w:spacing w:lineRule="auto" w:line="240" w:before="0" w:after="0"/>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 </w:t>
      </w:r>
      <w:r>
        <w:rPr>
          <w:rFonts w:eastAsia="Times New Roman" w:cs="Times New Roman" w:ascii="Times New Roman" w:hAnsi="Times New Roman"/>
          <w:color w:val="222222"/>
          <w:sz w:val="28"/>
          <w:szCs w:val="28"/>
        </w:rPr>
        <w:t>реализация основной общеобразовательной программы дошкольного образования;</w:t>
      </w:r>
    </w:p>
    <w:p>
      <w:pPr>
        <w:pStyle w:val="Normal"/>
        <w:spacing w:lineRule="auto" w:line="240" w:before="0" w:after="0"/>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 </w:t>
      </w:r>
      <w:r>
        <w:rPr>
          <w:rFonts w:eastAsia="Times New Roman" w:cs="Times New Roman" w:ascii="Times New Roman" w:hAnsi="Times New Roman"/>
          <w:color w:val="222222"/>
          <w:sz w:val="28"/>
          <w:szCs w:val="28"/>
        </w:rPr>
        <w:t>реализация дополнительных образовательных программ и оказание дополнительных образовательных услуг в пределах определяющей его статус образовательной программы;</w:t>
      </w:r>
    </w:p>
    <w:p>
      <w:pPr>
        <w:pStyle w:val="Normal"/>
        <w:tabs>
          <w:tab w:val="clear" w:pos="708"/>
          <w:tab w:val="left" w:pos="284" w:leader="none"/>
        </w:tabs>
        <w:spacing w:lineRule="auto" w:line="240" w:before="0" w:after="0"/>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 </w:t>
      </w:r>
      <w:r>
        <w:rPr>
          <w:rFonts w:eastAsia="Times New Roman" w:cs="Times New Roman" w:ascii="Times New Roman" w:hAnsi="Times New Roman"/>
          <w:color w:val="222222"/>
          <w:sz w:val="28"/>
          <w:szCs w:val="28"/>
        </w:rPr>
        <w:t>воспитание, обучение и развитие детей в возрасте от 2 до 7 лет;</w:t>
      </w:r>
    </w:p>
    <w:p>
      <w:pPr>
        <w:pStyle w:val="Normal"/>
        <w:tabs>
          <w:tab w:val="clear" w:pos="708"/>
          <w:tab w:val="left" w:pos="284" w:leader="none"/>
          <w:tab w:val="left" w:pos="567" w:leader="none"/>
        </w:tabs>
        <w:spacing w:lineRule="auto" w:line="240" w:before="0" w:after="0"/>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w:t>
      </w:r>
      <w:r>
        <w:rPr>
          <w:rFonts w:eastAsia="Times New Roman" w:cs="Times New Roman" w:ascii="Times New Roman" w:hAnsi="Times New Roman"/>
          <w:color w:val="222222"/>
          <w:sz w:val="28"/>
          <w:szCs w:val="28"/>
        </w:rPr>
        <w:t>обеспечение познавательно-речевого, социально-личностного, художественно - эстетического и физического развития детей;</w:t>
      </w:r>
    </w:p>
    <w:p>
      <w:pPr>
        <w:pStyle w:val="Normal"/>
        <w:spacing w:lineRule="auto" w:line="240" w:before="0" w:after="0"/>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оказание консультативной и методической помощи родителям (законным представителям) по вопросам воспитания и развитие детей;</w:t>
      </w:r>
    </w:p>
    <w:p>
      <w:pPr>
        <w:pStyle w:val="Normal"/>
        <w:spacing w:lineRule="auto" w:line="240" w:before="0" w:after="0"/>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 </w:t>
      </w:r>
      <w:r>
        <w:rPr>
          <w:rFonts w:eastAsia="Times New Roman" w:cs="Times New Roman" w:ascii="Times New Roman" w:hAnsi="Times New Roman"/>
          <w:color w:val="222222"/>
          <w:sz w:val="28"/>
          <w:szCs w:val="28"/>
        </w:rPr>
        <w:t>охрана жизни и укрепление физического и психического здоровья детей.</w:t>
      </w:r>
    </w:p>
    <w:p>
      <w:pPr>
        <w:pStyle w:val="Normal"/>
        <w:spacing w:lineRule="auto" w:line="240" w:before="0" w:after="0"/>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 </w:t>
      </w:r>
      <w:r>
        <w:rPr>
          <w:rFonts w:eastAsia="Times New Roman" w:cs="Times New Roman" w:ascii="Times New Roman" w:hAnsi="Times New Roman"/>
          <w:color w:val="222222"/>
          <w:sz w:val="28"/>
          <w:szCs w:val="28"/>
        </w:rPr>
        <w:t>реализация дополнительных образовательных программ и оказание дополнительных платных образовательных услуг за пределами определяющей его статус образовательной программы</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Кроме того, ДОУ имеет право оказывать платные дополнительные образовательные услуги, правила оказания которых, регулируются законом Российской Федерации «Об образовании», иными нормативными правовыми актами. У ДОУ имеется лицензия на право ведения платных дополнительных услуг. </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К платным дополнительным образовательным услугам ДОУ относятся:</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 </w:t>
      </w:r>
      <w:r>
        <w:rPr>
          <w:rFonts w:eastAsia="Times New Roman" w:cs="Times New Roman" w:ascii="Times New Roman" w:hAnsi="Times New Roman"/>
          <w:color w:val="222222"/>
          <w:sz w:val="28"/>
          <w:szCs w:val="28"/>
        </w:rPr>
        <w:t>занятия в хореографии;</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 </w:t>
      </w:r>
      <w:r>
        <w:rPr>
          <w:rFonts w:eastAsia="Times New Roman" w:cs="Times New Roman" w:ascii="Times New Roman" w:hAnsi="Times New Roman"/>
          <w:color w:val="222222"/>
          <w:sz w:val="28"/>
          <w:szCs w:val="28"/>
        </w:rPr>
        <w:t>оказание логопедической помощи;</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 </w:t>
      </w:r>
      <w:r>
        <w:rPr>
          <w:rFonts w:eastAsia="Times New Roman" w:cs="Times New Roman" w:ascii="Times New Roman" w:hAnsi="Times New Roman"/>
          <w:color w:val="222222"/>
          <w:sz w:val="28"/>
          <w:szCs w:val="28"/>
        </w:rPr>
        <w:t>адаптационно-подготовительные занятия по подготовке будущих первоклассников;</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 </w:t>
      </w:r>
      <w:r>
        <w:rPr>
          <w:rFonts w:eastAsia="Times New Roman" w:cs="Times New Roman" w:ascii="Times New Roman" w:hAnsi="Times New Roman"/>
          <w:color w:val="222222"/>
          <w:sz w:val="28"/>
          <w:szCs w:val="28"/>
        </w:rPr>
        <w:t>занятия в кружках художественно-эстетического.</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Фактически в проверяемом периоде ДОУ оказывало следующие платные дополнительные платные услуги:</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 </w:t>
      </w:r>
      <w:r>
        <w:rPr>
          <w:rFonts w:eastAsia="Times New Roman" w:cs="Times New Roman" w:ascii="Times New Roman" w:hAnsi="Times New Roman"/>
          <w:color w:val="222222"/>
          <w:sz w:val="28"/>
          <w:szCs w:val="28"/>
        </w:rPr>
        <w:t>обучение ходьбе на лыжах;</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 </w:t>
      </w:r>
      <w:r>
        <w:rPr>
          <w:rFonts w:eastAsia="Times New Roman" w:cs="Times New Roman" w:ascii="Times New Roman" w:hAnsi="Times New Roman"/>
          <w:color w:val="222222"/>
          <w:sz w:val="28"/>
          <w:szCs w:val="28"/>
        </w:rPr>
        <w:t>материнская школа «Карапуз»;</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обучение английскому языку.</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Данные кружки проводятся согласно Положения о порядке предоставления дополнительных услуг МБДОУ № 27 и утверждено приказом заведующей детским садом от 01.10.2014 № 02-05 № 90, в связи с плохим посещением кружка обучение ходьбе на лыжах, было решено заменить                    на кружок «Хореографии» и утверждено приказом от 29.09.2015 № 02-05                       № 98.</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Тарифы на платные дополнительные образовательные услуги ДОУ применялись на основании постановления администрации города Канска 05.04.2012 г. № 482 «О тарифах на платные услуги, оказываемые образовательными Учреждениями».</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Выборочной проверкой оказания МБДОУ «Детский сад присмотра       и оздоровления № 27» города Канска платных образовательных услуг установлено.</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В 2017 году ДОУ заключено 32 договора на оказание платных образовательных услуг, из которых:</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 </w:t>
      </w:r>
      <w:r>
        <w:rPr>
          <w:rFonts w:eastAsia="Times New Roman" w:cs="Times New Roman" w:ascii="Times New Roman" w:hAnsi="Times New Roman"/>
          <w:color w:val="222222"/>
          <w:sz w:val="28"/>
          <w:szCs w:val="28"/>
        </w:rPr>
        <w:t>23 договоров – занятия в хореографией на сумму 100,0 рублей каждый, периодичностью 2 занятия в неделю, продолжительностью занятия – 0,25 минут;</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 </w:t>
      </w:r>
      <w:r>
        <w:rPr>
          <w:rFonts w:eastAsia="Times New Roman" w:cs="Times New Roman" w:ascii="Times New Roman" w:hAnsi="Times New Roman"/>
          <w:color w:val="222222"/>
          <w:sz w:val="28"/>
          <w:szCs w:val="28"/>
        </w:rPr>
        <w:t>9 договоров – обучение английскому языку на сумму 100,0 рублей каждый, периодичностью 1 раз в месяц, продолжительностью занятия – 0,25 минут.</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Тарифы на дополнительные платные образовательные услуги соответствуют тарифам, предусмотренным постановлением администрации города Канска 05.04.2012 г. № 482 «О тарифах на платные услуги, оказываемые образовательными Учреждениями».</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В течение 2017 года поступление денежных средств от оказания платных дополнительных образовательных услуг МБДОУ «Детский сад присмотра и оздоровления № 27» города Канска составило 67 700 рублей.</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В проверяемом периоде ДОУ осуществляло свою деятельность                         на основании лицензии серии А, № 0000683, регистрационный № 5983-л      от 12.09.2011 г., выданной Службой по контролю в области образования Красноярского края, на право ведения образовательной деятельности бессрочно.</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Согласно пункту 4.10 Санитарно-эпидемиологических требований                  к устройству, содержанию и организации режима работы в дошкольных организациях (СанПин 2.4.1.3049-13), утвержденных постановлением Главного государственного санитарного врача РФ от 15.05.2013 г. № 26 наполняемости ДОУ 158 человек, исходя из минимально допустимой площади групповых ячеек.</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Фактически, по состоянию на 31.12.2017 г. списочный состав воспитанников МБДОУ «Детский сад присмотра и оздоровления № 27» города Канска составлял 158 человека, среднесписочная за 2017 год составляет 157 человек.</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В соответствии с  постановлением администрации города Канска           от 20.03.2015 № 397 (с внесенными изменениями от 23.10.2017)                                             «Об установлении и взимании родительской платы за присмотр и уход           за детьми в образовательных организациях города Канска, реализующих образовательную программу дошкольного образования, и обращения                       за получением компенсации родителям (законным представителями)», размер родительской платы в 2017 составил 1500 рублей.</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Расчет родительской платы установлен в соответствии с Методикой, утвержденной постановлением администрации города Канска от 20.03.2015           № 397 (с внесенными изменениями от 23.10.2017) «Об установлении                          и взимании родительской платы за присмотр и уход за детьми                             в образовательных организациях города Канска, реализующих образовательную программу дошкольного образования, и обращения                        за получением компенсации родителям (законным представителями)».</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На 31.12.2017 года установлена переплата по родительской плате                         в сумме 90733,42 рубля, переплата образовалась за счет невыплаченной компенсации в соответствии с Федеральным законом от 29.12.2012 № 273 «Об образовании в Российской Федерации (с внесенными изменениями                     от 29.12.2017) пункт 5 статьи 65 (возврат 20, 50,70%, производится после 25 числа, т.е. после 25 декабря и переходит на январь 2018 года)</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В результате проверки нарушений при определении стоимости родительской платы МБДОУ «Детский сад присмотра и оздоровления № 27» города Канска не установлено.</w:t>
      </w:r>
    </w:p>
    <w:p>
      <w:pPr>
        <w:pStyle w:val="Normal"/>
        <w:spacing w:lineRule="auto" w:line="240" w:before="0" w:after="0"/>
        <w:ind w:firstLine="709"/>
        <w:jc w:val="both"/>
        <w:rPr>
          <w:rFonts w:ascii="Times New Roman" w:hAnsi="Times New Roman" w:eastAsia="Times New Roman" w:cs="Times New Roman"/>
          <w:b/>
          <w:b/>
          <w:bCs/>
          <w:color w:val="222222"/>
          <w:sz w:val="28"/>
          <w:szCs w:val="28"/>
        </w:rPr>
      </w:pPr>
      <w:r>
        <w:rPr>
          <w:rFonts w:eastAsia="Times New Roman" w:cs="Times New Roman" w:ascii="Times New Roman" w:hAnsi="Times New Roman"/>
          <w:b/>
          <w:bCs/>
          <w:color w:val="222222"/>
          <w:sz w:val="28"/>
          <w:szCs w:val="28"/>
        </w:rPr>
      </w:r>
    </w:p>
    <w:p>
      <w:pPr>
        <w:pStyle w:val="Normal"/>
        <w:spacing w:lineRule="auto" w:line="240" w:before="0" w:after="0"/>
        <w:ind w:firstLine="709"/>
        <w:jc w:val="center"/>
        <w:rPr>
          <w:rFonts w:ascii="Times New Roman" w:hAnsi="Times New Roman" w:eastAsia="Times New Roman" w:cs="Times New Roman"/>
          <w:b/>
          <w:b/>
          <w:bCs/>
          <w:color w:val="222222"/>
          <w:sz w:val="28"/>
          <w:szCs w:val="28"/>
        </w:rPr>
      </w:pPr>
      <w:r>
        <w:rPr>
          <w:rFonts w:eastAsia="Times New Roman" w:cs="Times New Roman" w:ascii="Times New Roman" w:hAnsi="Times New Roman"/>
          <w:b/>
          <w:bCs/>
          <w:color w:val="222222"/>
          <w:sz w:val="28"/>
          <w:szCs w:val="28"/>
        </w:rPr>
      </w:r>
    </w:p>
    <w:p>
      <w:pPr>
        <w:pStyle w:val="Normal"/>
        <w:spacing w:lineRule="auto" w:line="240" w:before="0" w:after="0"/>
        <w:ind w:firstLine="709"/>
        <w:jc w:val="center"/>
        <w:rPr>
          <w:rFonts w:ascii="Times New Roman" w:hAnsi="Times New Roman" w:eastAsia="Times New Roman" w:cs="Times New Roman"/>
          <w:b/>
          <w:b/>
          <w:bCs/>
          <w:color w:val="222222"/>
          <w:sz w:val="28"/>
          <w:szCs w:val="28"/>
        </w:rPr>
      </w:pPr>
      <w:r>
        <w:rPr>
          <w:rFonts w:eastAsia="Times New Roman" w:cs="Times New Roman" w:ascii="Times New Roman" w:hAnsi="Times New Roman"/>
          <w:b/>
          <w:bCs/>
          <w:color w:val="222222"/>
          <w:sz w:val="28"/>
          <w:szCs w:val="28"/>
        </w:rPr>
        <w:t>Проверка состояния бухгалтерского учета, порядка составления, утверждения и исполнения плана финансово-хозяйственной деятельности.</w:t>
      </w:r>
    </w:p>
    <w:p>
      <w:pPr>
        <w:pStyle w:val="Normal"/>
        <w:spacing w:lineRule="auto" w:line="240" w:before="0" w:after="0"/>
        <w:ind w:firstLine="709"/>
        <w:jc w:val="center"/>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В проверяемом периоде бухгалтерский учет в ДОУ осуществлялся                    на основании:</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 </w:t>
      </w:r>
      <w:r>
        <w:rPr>
          <w:rFonts w:eastAsia="Times New Roman" w:cs="Times New Roman" w:ascii="Times New Roman" w:hAnsi="Times New Roman"/>
          <w:color w:val="222222"/>
          <w:sz w:val="28"/>
          <w:szCs w:val="28"/>
        </w:rPr>
        <w:t>Федерального закона РФ от 06.12.2011 г. № 402-ФЗ                                        «О бухгалтерском учете»;</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 </w:t>
      </w:r>
      <w:r>
        <w:rPr>
          <w:rFonts w:eastAsia="Times New Roman" w:cs="Times New Roman" w:ascii="Times New Roman" w:hAnsi="Times New Roman"/>
          <w:color w:val="222222"/>
          <w:sz w:val="28"/>
          <w:szCs w:val="28"/>
        </w:rPr>
        <w:t>приказа Министерства финансов РФ от 01.12.2010 г. № 157н                «Об утверждении единого плана счетов бухгалтерского учета для органов государственной власти,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(далее – Инструкция №157н);</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 </w:t>
      </w:r>
      <w:r>
        <w:rPr>
          <w:rFonts w:eastAsia="Times New Roman" w:cs="Times New Roman" w:ascii="Times New Roman" w:hAnsi="Times New Roman"/>
          <w:color w:val="222222"/>
          <w:sz w:val="28"/>
          <w:szCs w:val="28"/>
        </w:rPr>
        <w:t>приказа Министерства финансов РФ от 30.03.2015 г.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академиями наук, государственными (муниципальными) учреждениями,                     и Методических указаний по их применению» (далее – Указания № 52н);</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 </w:t>
      </w:r>
      <w:r>
        <w:rPr>
          <w:rFonts w:eastAsia="Times New Roman" w:cs="Times New Roman" w:ascii="Times New Roman" w:hAnsi="Times New Roman"/>
          <w:color w:val="222222"/>
          <w:sz w:val="28"/>
          <w:szCs w:val="28"/>
        </w:rPr>
        <w:t>приказа Министерства финансов РФ от 16.12.2010 г. №174н                          «Об утверждении плана счетов бухгалтерского учета бюджетных учреждений и инструкции по его применению» (далее – Инструкция                         № 174н).</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Бухгалтерский учет ДОУ осуществляется автоматизированным способом в программе 1-С.</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Ведение бухгалтерского учета МБДОУ «Детский сад присмотра                      и оздоровления № 27» города Канска осуществляет МКУ «ЦБ по ведению учета в сфере образования» (далее по тексту – ЦБ) согласно договорам                      о бухгалтерском обслуживании:</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 </w:t>
      </w:r>
      <w:r>
        <w:rPr>
          <w:rFonts w:eastAsia="Times New Roman" w:cs="Times New Roman" w:ascii="Times New Roman" w:hAnsi="Times New Roman"/>
          <w:color w:val="222222"/>
          <w:sz w:val="28"/>
          <w:szCs w:val="28"/>
        </w:rPr>
        <w:t>от 01.01.2013 г. № б/н;</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 </w:t>
      </w:r>
      <w:r>
        <w:rPr>
          <w:rFonts w:eastAsia="Times New Roman" w:cs="Times New Roman" w:ascii="Times New Roman" w:hAnsi="Times New Roman"/>
          <w:color w:val="222222"/>
          <w:sz w:val="28"/>
          <w:szCs w:val="28"/>
        </w:rPr>
        <w:t>от 01.01.2013 г. № 01;</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 </w:t>
      </w:r>
      <w:r>
        <w:rPr>
          <w:rFonts w:eastAsia="Times New Roman" w:cs="Times New Roman" w:ascii="Times New Roman" w:hAnsi="Times New Roman"/>
          <w:color w:val="222222"/>
          <w:sz w:val="28"/>
          <w:szCs w:val="28"/>
        </w:rPr>
        <w:t>от 01.01.2013 г. № 02;</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Учетная политика ДОУ на 2017 год утверждена приказами заведующей ДОУ от 11.01.2016 г. № 7-0 с внесенными изменениями                                    от 05.07.2016 № 20-0, от 30.12.2016 № 32-0.</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В соответствии инструкции № 157н учетная политика ДОУ на 2017 год, не содержит нарушений.</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В проверяемом периоде до ДОУ доведены муниципальные задания на оказание муниципальной услуги «Предоставление бесплатного дошкольного образования в муниципальном дошкольном образовательном учреждении»,  в которых определены качественные и количественные показатели муниципальной услуги. В части увеличения объема муниципальной услуги 29.12.2017 г. произведено изменение муниципального задания на 2017 год.</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В соответствии с п. 32 муниципальных заданий ДОУ установлены сроки предоставления в администрацию города Канска отчетов о его исполнении – ежеквартально и годовой не позднее 20 января. Отчеты                      об исполнении муниципального задания, подписанные заведующей ДОУ, представлены к проверке в полном объеме по состоянию на 01.04.2017 (предоставлен 31.03.2017), на 01.07.2017 (предоставлен 30.06.2017),                           на 01.10.2017 (предоставлен 05.10.2017) и на 01.01.2018 (предоставлен 10.01.2018). В п. 32 муниципальных заданий указано что отчеты                             по муниципальному заданию ежеквартально предоставляются до 15 числа месяца, а годовой не позднее 20 января. Отчетов в администрацию города Канска представлены в без нарушения сроков отчетности.</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Соглашением от 09.01.2017 № 023 «О порядке и условиях предоставления субсидий бюджетному учреждению на финансовое обеспечение выполнения муниципального задания на оказание                                 им муниципальных услуг физическим лицам и субсидий бюджетному учреждению на иные цели», заключенным между администрацией города Канска и МБДОУ «Детский сад присмотра и оздоровления № 27» города Канска, предусмотрен объем субсидий:</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 </w:t>
      </w:r>
      <w:r>
        <w:rPr>
          <w:rFonts w:eastAsia="Times New Roman" w:cs="Times New Roman" w:ascii="Times New Roman" w:hAnsi="Times New Roman"/>
          <w:color w:val="222222"/>
          <w:sz w:val="28"/>
          <w:szCs w:val="28"/>
        </w:rPr>
        <w:t>на финансовое обеспечение выполнения муниципального задания ДОУ в сумме 12 706 804,95 рубля.</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Показатели плана финансово-хозяйственной деятельности на 2017 год по поступлениям (доходам) и выплатам (расходам) утверждены заведующей МБДОУ «Детский сад присмотра и оздоровления № 27» города Канска                        в части поступлений (доходов) и выплат (расходов) в сумме 14 625 240,00 рублей, в том числе:</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 </w:t>
      </w:r>
      <w:r>
        <w:rPr>
          <w:rFonts w:eastAsia="Times New Roman" w:cs="Times New Roman" w:ascii="Times New Roman" w:hAnsi="Times New Roman"/>
          <w:color w:val="222222"/>
          <w:sz w:val="28"/>
          <w:szCs w:val="28"/>
        </w:rPr>
        <w:t>субсидии за счет бюджета города Канска на финансовое обеспечение муниципального задания в сумме 12 706 804,95 рубля (соглашение                             от 09.01.2017 № 023);</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 </w:t>
      </w:r>
      <w:r>
        <w:rPr>
          <w:rFonts w:eastAsia="Times New Roman" w:cs="Times New Roman" w:ascii="Times New Roman" w:hAnsi="Times New Roman"/>
          <w:color w:val="222222"/>
          <w:sz w:val="28"/>
          <w:szCs w:val="28"/>
        </w:rPr>
        <w:t>доходы от оказания услуг на платной основе физическим                                 и юридическим лицам в сумме 1 918 435,05 рублей.</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В течение 2017 года, в показатели плана финансово-хозяйственной деятельности вносились изменения в части объема субсидий на финансовое обеспечение выполнения муниципального задания. </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В результате на 31.12.2017 показатели плана финансово-хозяйственной деятельности, как в части доходов составили 14 566 456,48 рублей, в части расходов составили 14 586 674,15 рубля, в том числе:</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 </w:t>
      </w:r>
      <w:r>
        <w:rPr>
          <w:rFonts w:eastAsia="Times New Roman" w:cs="Times New Roman" w:ascii="Times New Roman" w:hAnsi="Times New Roman"/>
          <w:color w:val="222222"/>
          <w:sz w:val="28"/>
          <w:szCs w:val="28"/>
        </w:rPr>
        <w:t>субсидии на финансовое обеспечение выполнения муниципального задания 12 885 677,95 рублей, из которых расходы на оплату труда                            и начисления на выплаты по оплате труда были предусмотрены в сумме 10 597 148,31рублей, или 82,2% от общего объема субсидии, расходы                        на обеспечение функционирования ДОУ (содержание имущества, услуги связи, коммунальные услуги и т.д.) – 2 288 529,64 рублей, или 17,8 %;</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 </w:t>
      </w:r>
      <w:r>
        <w:rPr>
          <w:rFonts w:eastAsia="Times New Roman" w:cs="Times New Roman" w:ascii="Times New Roman" w:hAnsi="Times New Roman"/>
          <w:color w:val="222222"/>
          <w:sz w:val="28"/>
          <w:szCs w:val="28"/>
        </w:rPr>
        <w:t>доходы от оказания услуг на платной основе физическим                                 и юридическим лицам в сумме 1 680 778,53 рублей.</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Согласно «Отчету об исполнении ДОУ плана его финансово-хозяйственной деятельности» (форма 0503737), по состоянию на 01.01.2018 исполнение в части поступлений (доходов) составило 1 680 778,53 рублей, или 94% плановых значений (1 787 922,52), в части расходов составило               1 781 524,45. рубля или 98,3 % плановых значений (1 811 670,01).</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При проверке достоверности показателей годовой бухгалтерской отчетности МБДОУ «Детский сад присмотра и оздоровления № 27» города Канска, проведенной путем сопоставления данных «Отчета об исполнении ДОУ плана его финансово-хозяйственной деятельности» по состоянию на 01.01.2018 (форма 0503737), «Отчета о финансовых результатах деятельности» по состоянию на 01.01.2018 г. (форма 0503721) с данными бухгалтерского учета в 2017 году расхождений не установлено.</w:t>
      </w:r>
    </w:p>
    <w:p>
      <w:pPr>
        <w:pStyle w:val="Normal"/>
        <w:tabs>
          <w:tab w:val="clear" w:pos="708"/>
          <w:tab w:val="left" w:pos="360" w:leader="none"/>
        </w:tabs>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tabs>
          <w:tab w:val="clear" w:pos="708"/>
          <w:tab w:val="left" w:pos="360" w:leader="none"/>
        </w:tabs>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Организация закупок.</w:t>
      </w:r>
    </w:p>
    <w:p>
      <w:pPr>
        <w:pStyle w:val="Normal"/>
        <w:tabs>
          <w:tab w:val="clear" w:pos="708"/>
          <w:tab w:val="left" w:pos="360" w:leader="none"/>
        </w:tabs>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color w:val="365F91" w:themeColor="accent1" w:themeShade="bf"/>
          <w:sz w:val="28"/>
          <w:szCs w:val="28"/>
        </w:rPr>
        <w:tab/>
      </w:r>
      <w:r>
        <w:rPr>
          <w:rFonts w:cs="Times New Roman" w:ascii="Times New Roman" w:hAnsi="Times New Roman"/>
          <w:sz w:val="28"/>
          <w:szCs w:val="28"/>
        </w:rPr>
        <w:t>В ходе проверке организации закупок установлено, что                                               в анализируемом периоде в соответствии с частью 2 статьи 38 Федерального закона от 05.04.2013 № 44-ФЗ (далее – Федеральный закон № 44-ФЗ) в ДОУ приказом ответственным за осуществление закупок товаров, работ, услуг (контрактным управляющим) была назначена Игнатьева Л.П. (заведующий Детским садом).</w:t>
      </w:r>
    </w:p>
    <w:p>
      <w:pPr>
        <w:pStyle w:val="Normal"/>
        <w:spacing w:lineRule="auto" w:line="240" w:before="0" w:after="0"/>
        <w:jc w:val="both"/>
        <w:rPr>
          <w:rFonts w:ascii="Times New Roman" w:hAnsi="Times New Roman" w:cs="Times New Roman"/>
          <w:iCs/>
          <w:sz w:val="28"/>
          <w:szCs w:val="28"/>
        </w:rPr>
      </w:pPr>
      <w:r>
        <w:rPr>
          <w:rFonts w:cs="Times New Roman" w:ascii="Times New Roman" w:hAnsi="Times New Roman"/>
          <w:sz w:val="28"/>
          <w:szCs w:val="28"/>
        </w:rPr>
        <w:tab/>
        <w:t>В соответствии с частью 6 статьи 38 и частью 23 статьи 112 Федерального закона № 44-ФЗ, действующий к</w:t>
      </w:r>
      <w:r>
        <w:rPr>
          <w:rFonts w:cs="Times New Roman" w:ascii="Times New Roman" w:hAnsi="Times New Roman"/>
          <w:iCs/>
          <w:sz w:val="28"/>
          <w:szCs w:val="28"/>
        </w:rPr>
        <w:t xml:space="preserve">онтрактный управляющий </w:t>
      </w:r>
      <w:r>
        <w:rPr>
          <w:rFonts w:cs="Times New Roman" w:ascii="Times New Roman" w:hAnsi="Times New Roman"/>
          <w:sz w:val="28"/>
          <w:szCs w:val="28"/>
        </w:rPr>
        <w:t>Детского сада</w:t>
      </w:r>
      <w:r>
        <w:rPr>
          <w:rFonts w:cs="Times New Roman" w:ascii="Times New Roman" w:hAnsi="Times New Roman"/>
          <w:bCs/>
          <w:sz w:val="28"/>
          <w:szCs w:val="28"/>
        </w:rPr>
        <w:t xml:space="preserve"> </w:t>
      </w:r>
      <w:r>
        <w:rPr>
          <w:rFonts w:cs="Times New Roman" w:ascii="Times New Roman" w:hAnsi="Times New Roman"/>
          <w:iCs/>
          <w:sz w:val="28"/>
          <w:szCs w:val="28"/>
        </w:rPr>
        <w:t xml:space="preserve">прошел повышение квалификации по вопросам применения Федерального закона № 44-ФЗ в количестве 114 часов </w:t>
      </w:r>
      <w:r>
        <w:rPr>
          <w:rFonts w:cs="Times New Roman" w:ascii="Times New Roman" w:hAnsi="Times New Roman"/>
          <w:bCs/>
          <w:sz w:val="28"/>
          <w:szCs w:val="28"/>
        </w:rPr>
        <w:t>(удостоверение                        о повышении квалификации регистрационный номер 01478).</w:t>
      </w:r>
    </w:p>
    <w:p>
      <w:pPr>
        <w:pStyle w:val="Normal"/>
        <w:spacing w:lineRule="auto" w:line="240" w:before="0" w:after="0"/>
        <w:ind w:firstLine="567"/>
        <w:jc w:val="both"/>
        <w:rPr>
          <w:rFonts w:ascii="Times New Roman" w:hAnsi="Times New Roman" w:cs="Times New Roman"/>
          <w:bCs/>
          <w:sz w:val="28"/>
          <w:szCs w:val="28"/>
        </w:rPr>
      </w:pPr>
      <w:r>
        <w:rPr>
          <w:rFonts w:cs="Times New Roman" w:ascii="Times New Roman" w:hAnsi="Times New Roman"/>
          <w:bCs/>
          <w:sz w:val="28"/>
          <w:szCs w:val="28"/>
        </w:rPr>
        <w:t>В проверяемом периоде на основании приказа от 23.03.2017 № 8-о утвержден состав Единой комиссии по осуществлению закупок путем проведения конкурсов, аукционов, и запросов котировок, запросов предложения для определения поставщиков (подрядчиков, исполнителей)     в целях заключения с ними контрактов на поставки товаров (выполнение работ, оказание услуг) для нужд ДОУ (далее - Единая комиссия) в составе                  6 (шести) человек и Положение о Единой комиссии.</w:t>
      </w:r>
    </w:p>
    <w:p>
      <w:pPr>
        <w:pStyle w:val="Normal"/>
        <w:spacing w:lineRule="auto" w:line="240" w:before="0" w:after="0"/>
        <w:ind w:firstLine="567"/>
        <w:jc w:val="both"/>
        <w:rPr>
          <w:rFonts w:ascii="Times New Roman" w:hAnsi="Times New Roman" w:cs="Times New Roman"/>
          <w:bCs/>
          <w:sz w:val="28"/>
          <w:szCs w:val="28"/>
        </w:rPr>
      </w:pPr>
      <w:r>
        <w:rPr>
          <w:rFonts w:cs="Times New Roman" w:ascii="Times New Roman" w:hAnsi="Times New Roman"/>
          <w:bCs/>
          <w:sz w:val="28"/>
          <w:szCs w:val="28"/>
        </w:rPr>
        <w:t xml:space="preserve"> </w:t>
      </w:r>
      <w:r>
        <w:rPr>
          <w:rFonts w:cs="Times New Roman" w:ascii="Times New Roman" w:hAnsi="Times New Roman"/>
          <w:bCs/>
          <w:sz w:val="28"/>
          <w:szCs w:val="28"/>
        </w:rPr>
        <w:t>В состав Единой комиссии вошли:</w:t>
      </w:r>
    </w:p>
    <w:p>
      <w:pPr>
        <w:pStyle w:val="Normal"/>
        <w:spacing w:lineRule="auto" w:line="240" w:before="0" w:after="0"/>
        <w:ind w:firstLine="567"/>
        <w:jc w:val="both"/>
        <w:rPr>
          <w:rFonts w:ascii="Times New Roman" w:hAnsi="Times New Roman" w:cs="Times New Roman"/>
          <w:bCs/>
          <w:sz w:val="28"/>
          <w:szCs w:val="28"/>
        </w:rPr>
      </w:pPr>
      <w:r>
        <w:rPr>
          <w:rFonts w:cs="Times New Roman" w:ascii="Times New Roman" w:hAnsi="Times New Roman"/>
          <w:bCs/>
          <w:sz w:val="28"/>
          <w:szCs w:val="28"/>
        </w:rPr>
        <w:t>- Игнатьева Л.П. - председатель Единой комиссии (заведующий Детским садом);</w:t>
      </w:r>
    </w:p>
    <w:p>
      <w:pPr>
        <w:pStyle w:val="Normal"/>
        <w:spacing w:lineRule="auto" w:line="240" w:before="0" w:after="0"/>
        <w:ind w:firstLine="567"/>
        <w:jc w:val="both"/>
        <w:rPr>
          <w:rFonts w:ascii="Times New Roman" w:hAnsi="Times New Roman" w:cs="Times New Roman"/>
          <w:bCs/>
          <w:sz w:val="28"/>
          <w:szCs w:val="28"/>
        </w:rPr>
      </w:pPr>
      <w:r>
        <w:rPr>
          <w:rFonts w:cs="Times New Roman" w:ascii="Times New Roman" w:hAnsi="Times New Roman"/>
          <w:bCs/>
          <w:sz w:val="28"/>
          <w:szCs w:val="28"/>
        </w:rPr>
        <w:t>-  Степурка С.Ю. - заместитель председателя Единой комиссии (старший воспитатель Детского сада);</w:t>
      </w:r>
    </w:p>
    <w:p>
      <w:pPr>
        <w:pStyle w:val="Normal"/>
        <w:spacing w:lineRule="auto" w:line="240" w:before="0" w:after="0"/>
        <w:ind w:firstLine="567"/>
        <w:jc w:val="both"/>
        <w:rPr>
          <w:rFonts w:ascii="Times New Roman" w:hAnsi="Times New Roman" w:cs="Times New Roman"/>
          <w:bCs/>
          <w:sz w:val="28"/>
          <w:szCs w:val="28"/>
        </w:rPr>
      </w:pPr>
      <w:r>
        <w:rPr>
          <w:rFonts w:cs="Times New Roman" w:ascii="Times New Roman" w:hAnsi="Times New Roman"/>
          <w:bCs/>
          <w:sz w:val="28"/>
          <w:szCs w:val="28"/>
        </w:rPr>
        <w:t>-  Сырокваш О.А. - член Единой комиссии (воспитатель Детского сада);</w:t>
      </w:r>
    </w:p>
    <w:p>
      <w:pPr>
        <w:pStyle w:val="Normal"/>
        <w:spacing w:lineRule="auto" w:line="240" w:before="0" w:after="0"/>
        <w:ind w:firstLine="567"/>
        <w:jc w:val="both"/>
        <w:rPr>
          <w:rFonts w:ascii="Times New Roman" w:hAnsi="Times New Roman" w:cs="Times New Roman"/>
          <w:bCs/>
          <w:sz w:val="28"/>
          <w:szCs w:val="28"/>
        </w:rPr>
      </w:pPr>
      <w:r>
        <w:rPr>
          <w:rFonts w:cs="Times New Roman" w:ascii="Times New Roman" w:hAnsi="Times New Roman"/>
          <w:bCs/>
          <w:sz w:val="28"/>
          <w:szCs w:val="28"/>
        </w:rPr>
        <w:t>- Мутовина Т.В. - член Единой комиссии (воспитатель Детского сада);</w:t>
      </w:r>
    </w:p>
    <w:p>
      <w:pPr>
        <w:pStyle w:val="Normal"/>
        <w:spacing w:lineRule="auto" w:line="240" w:before="0" w:after="0"/>
        <w:ind w:firstLine="567"/>
        <w:jc w:val="both"/>
        <w:rPr>
          <w:rFonts w:ascii="Times New Roman" w:hAnsi="Times New Roman" w:cs="Times New Roman"/>
          <w:bCs/>
          <w:sz w:val="28"/>
          <w:szCs w:val="28"/>
        </w:rPr>
      </w:pPr>
      <w:r>
        <w:rPr>
          <w:rFonts w:cs="Times New Roman" w:ascii="Times New Roman" w:hAnsi="Times New Roman"/>
          <w:bCs/>
          <w:sz w:val="28"/>
          <w:szCs w:val="28"/>
        </w:rPr>
        <w:t>- Демидова Т.Г. - член Единой комиссии (повар Детского сада);</w:t>
      </w:r>
    </w:p>
    <w:p>
      <w:pPr>
        <w:pStyle w:val="Normal"/>
        <w:spacing w:lineRule="auto" w:line="240" w:before="0" w:after="0"/>
        <w:ind w:firstLine="567"/>
        <w:jc w:val="both"/>
        <w:rPr>
          <w:rFonts w:ascii="Times New Roman" w:hAnsi="Times New Roman" w:cs="Times New Roman"/>
          <w:bCs/>
          <w:sz w:val="28"/>
          <w:szCs w:val="28"/>
        </w:rPr>
      </w:pPr>
      <w:r>
        <w:rPr>
          <w:rFonts w:cs="Times New Roman" w:ascii="Times New Roman" w:hAnsi="Times New Roman"/>
          <w:bCs/>
          <w:sz w:val="28"/>
          <w:szCs w:val="28"/>
        </w:rPr>
        <w:t>- Лифанская Т.А. - член Единой комиссии (младший воспитатель Детского сада).</w:t>
      </w:r>
    </w:p>
    <w:p>
      <w:pPr>
        <w:pStyle w:val="Normal"/>
        <w:spacing w:lineRule="auto" w:line="240" w:before="0" w:after="0"/>
        <w:ind w:firstLine="708"/>
        <w:jc w:val="both"/>
        <w:rPr>
          <w:rFonts w:ascii="Times New Roman" w:hAnsi="Times New Roman"/>
          <w:bCs/>
          <w:sz w:val="28"/>
          <w:szCs w:val="28"/>
        </w:rPr>
      </w:pPr>
      <w:r>
        <w:rPr>
          <w:rFonts w:cs="Times New Roman" w:ascii="Times New Roman" w:hAnsi="Times New Roman"/>
          <w:bCs/>
          <w:sz w:val="28"/>
          <w:szCs w:val="28"/>
        </w:rPr>
        <w:t>2)</w:t>
      </w:r>
      <w:r>
        <w:rPr>
          <w:rFonts w:ascii="Times New Roman" w:hAnsi="Times New Roman"/>
          <w:bCs/>
          <w:sz w:val="28"/>
          <w:szCs w:val="28"/>
        </w:rPr>
        <w:t xml:space="preserve"> В соответствии со ст. 52, 53, 67, 68, 69, 78, 81, 82, 83, 89, 90 Федерального закона № 44-ФЗ протоколы по осуществлению закупок размещены в единой информационной системе.</w:t>
      </w:r>
    </w:p>
    <w:p>
      <w:pPr>
        <w:pStyle w:val="Normal"/>
        <w:spacing w:lineRule="auto" w:line="240" w:before="0" w:after="0"/>
        <w:ind w:firstLine="708"/>
        <w:jc w:val="both"/>
        <w:rPr>
          <w:rFonts w:ascii="Times New Roman" w:hAnsi="Times New Roman"/>
          <w:sz w:val="28"/>
          <w:szCs w:val="28"/>
        </w:rPr>
      </w:pPr>
      <w:r>
        <w:rPr>
          <w:rFonts w:ascii="Times New Roman" w:hAnsi="Times New Roman"/>
          <w:sz w:val="28"/>
          <w:szCs w:val="28"/>
        </w:rPr>
        <w:t>Решение о бюджете муниципального образования город Канск на 2017 год принято Решением Канского городского Совета депутатов от 21.12.2016 года № 15-64 «О бюджете города Канска на 2017 год и плановый период                        2018-2019 годов.</w:t>
      </w:r>
      <w:r>
        <w:rPr>
          <w:rFonts w:cs="Courier New" w:ascii="Courier New" w:hAnsi="Courier New"/>
          <w:sz w:val="20"/>
          <w:szCs w:val="20"/>
        </w:rPr>
        <w:t xml:space="preserve">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В соответствии с п. 2 Приказа Минэкономразвития России № 182, Казначейства России № 7 н от 31.03.2015 года (ред. от 03.11.2015 года)                «Об особенностях размещения в единой информационной системе или                 до ввода в эксплуатацию указанной системы на официальном сайте Российской Федерации в информационно-телекоммуникационной сети «Интернет»» планы –графики подлежат размещению на официальном сайте не позднее одного календарного месяца после принятия законов (решения).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План –график ДОУ размещен на официальном сайте своевременно (29.12. 2016 года).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В 2017 году ДОУ заключило   контрактов согласно форме обоснований </w:t>
      </w:r>
      <w:bookmarkStart w:id="2" w:name="_GoBack"/>
      <w:bookmarkEnd w:id="2"/>
      <w:r>
        <w:rPr>
          <w:rFonts w:ascii="Times New Roman" w:hAnsi="Times New Roman"/>
          <w:sz w:val="28"/>
          <w:szCs w:val="28"/>
        </w:rPr>
        <w:t>закупок товаров, работ и услуг для обеспечения государственных                               и муниципальных нужд при формировании и утверждении плана-графика закупок, плана – графика закупок товаров, работ и услуг на 2017 год                         с изменениями на 22.12.2017 года на общую сумму   3453524,31 рублей,               из них:</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  на сумму 529 059,54 рублей в соответствии с п 5 части 1 статьи 93 Федерального закона № 44-ФЗ;</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 на сумму 620 865,14 рублей в соответствии с пунктом 8 ч. 1 ст. 93    Федерального закона № 44 - ФЗ;</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   на сумму 6 301,20 рублей в соответствии с п. 1 ч.1 статьи 93 Федерального закона № 44-ФЗ;</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  на сумму 1 169 324,58 рублей в соответствии с пунктом    4 части 1 статьи 93 Федерального закона № 44-ФЗ;</w:t>
        <w:tab/>
      </w:r>
    </w:p>
    <w:p>
      <w:pPr>
        <w:pStyle w:val="Normal"/>
        <w:spacing w:lineRule="auto" w:line="240" w:before="0" w:after="0"/>
        <w:jc w:val="both"/>
        <w:rPr>
          <w:rFonts w:ascii="Times New Roman" w:hAnsi="Times New Roman"/>
          <w:sz w:val="28"/>
          <w:szCs w:val="28"/>
        </w:rPr>
      </w:pPr>
      <w:r>
        <w:rPr>
          <w:rFonts w:ascii="Times New Roman" w:hAnsi="Times New Roman"/>
          <w:sz w:val="28"/>
          <w:szCs w:val="28"/>
        </w:rPr>
        <w:t>- на сумму 1 127 973,85 рубля в соответствии с пунктом со статьей 59 Федерального закона № 44-ФЗ;</w:t>
      </w:r>
    </w:p>
    <w:p>
      <w:pPr>
        <w:pStyle w:val="Normal"/>
        <w:ind w:firstLine="709"/>
        <w:jc w:val="both"/>
        <w:rPr>
          <w:rFonts w:ascii="Times New Roman" w:hAnsi="Times New Roman"/>
          <w:sz w:val="28"/>
          <w:szCs w:val="28"/>
        </w:rPr>
      </w:pPr>
      <w:r>
        <w:rPr>
          <w:rFonts w:ascii="Times New Roman" w:hAnsi="Times New Roman"/>
          <w:bCs/>
          <w:sz w:val="28"/>
          <w:szCs w:val="28"/>
        </w:rPr>
        <w:t>В</w:t>
      </w:r>
      <w:r>
        <w:rPr>
          <w:rFonts w:ascii="Times New Roman" w:hAnsi="Times New Roman"/>
          <w:sz w:val="28"/>
          <w:szCs w:val="28"/>
        </w:rPr>
        <w:t xml:space="preserve"> ходе проверки обоснованности и законности выбора </w:t>
      </w:r>
      <w:r>
        <w:rPr>
          <w:rFonts w:eastAsia="Times New Roman" w:cs="Times New Roman" w:ascii="Times New Roman" w:hAnsi="Times New Roman"/>
          <w:color w:val="222222"/>
          <w:sz w:val="28"/>
          <w:szCs w:val="28"/>
        </w:rPr>
        <w:t>муниципального бюджетного дошкольного образовательного ДОУ «Детский сад присмотра            и оздоровления № 27 «Солнышко» города Канска</w:t>
      </w:r>
      <w:r>
        <w:rPr>
          <w:rFonts w:ascii="Times New Roman" w:hAnsi="Times New Roman"/>
          <w:sz w:val="28"/>
          <w:szCs w:val="28"/>
        </w:rPr>
        <w:t xml:space="preserve"> способа определения поставщика (подрядчика, исполнителя) при закупке у единственного поставщика (подрядчика, исполнителя) нарушений не выявлено. </w:t>
        <w:tab/>
        <w:t>Совокупный годовой объем закупок, осуществленный ДОУ                     у единственного поставщика (подрядчика, исполнителя) по контрактам, заключенным на сумму не более 400,0 тыс. рублей не превышает ограничения, установленные пунктом 5 ст. 1 статьи 93 Федерального закона № 44-ФЗ.</w:t>
      </w:r>
    </w:p>
    <w:p>
      <w:pPr>
        <w:pStyle w:val="Normal"/>
        <w:spacing w:lineRule="auto" w:line="240" w:before="0" w:after="0"/>
        <w:ind w:firstLine="708"/>
        <w:jc w:val="both"/>
        <w:rPr>
          <w:rFonts w:ascii="Times New Roman" w:hAnsi="Times New Roman"/>
          <w:bCs/>
          <w:sz w:val="28"/>
          <w:szCs w:val="28"/>
        </w:rPr>
      </w:pPr>
      <w:r>
        <w:rPr>
          <w:rFonts w:ascii="Times New Roman" w:hAnsi="Times New Roman"/>
          <w:bCs/>
          <w:sz w:val="28"/>
          <w:szCs w:val="28"/>
        </w:rPr>
      </w:r>
    </w:p>
    <w:p>
      <w:pPr>
        <w:pStyle w:val="Normal"/>
        <w:spacing w:lineRule="auto" w:line="240" w:before="0" w:after="0"/>
        <w:ind w:firstLine="708"/>
        <w:jc w:val="center"/>
        <w:rPr>
          <w:rFonts w:ascii="Times New Roman" w:hAnsi="Times New Roman" w:eastAsia="Times New Roman" w:cs="Times New Roman"/>
          <w:b/>
          <w:b/>
          <w:bCs/>
          <w:color w:val="222222"/>
          <w:sz w:val="28"/>
          <w:szCs w:val="28"/>
        </w:rPr>
      </w:pPr>
      <w:r>
        <w:rPr>
          <w:rFonts w:eastAsia="Times New Roman" w:cs="Times New Roman" w:ascii="Times New Roman" w:hAnsi="Times New Roman"/>
          <w:b/>
          <w:bCs/>
          <w:color w:val="222222"/>
          <w:sz w:val="28"/>
          <w:szCs w:val="28"/>
        </w:rPr>
        <w:t>Проверка операций с денежными средствами.</w:t>
      </w:r>
    </w:p>
    <w:p>
      <w:pPr>
        <w:pStyle w:val="Normal"/>
        <w:spacing w:lineRule="auto" w:line="240" w:before="0" w:after="0"/>
        <w:ind w:firstLine="708"/>
        <w:jc w:val="center"/>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Выборочная проверка банковских операций по лицевым счетам ДОУ                    за период 2017 года, путем сличения данных Главной книги, журнала операций с безналичными денежными средствами и первичных документов  к ним.</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В проверяемом периоде расходы произведены в соответствии                           с действующей бюджетной классификацией, предусмотренной приказами Министерства финансов Российской Федерации от 01.07.2013 № 65н                       (с внесенными изменениями от 29.11.2017 № 210н). В ходе проверки нарушений не установлено.</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Выписки банка подтверждены первичными документами, обороты                   и остатки сумм на лицевом счете соответствуют данным журнала операций                 с безналичными денежными средствами.</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В проверяемом периоде отвлечения денежных средств ДОУ                              на финансирование сторонних юридических и физических лиц                               не установлено.</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В период выборочной проверке 2017 года кассовые операции осуществлялись на основании Указания Банка России от 11.03.2014 № 3210-У (ред. от 19.06.2017)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(Зарегистрировано в Минюсте России 23.05.2014                      № 32404).</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Аналитический учет по кассовым операциям ведется в журнале операций по счету «Касса».</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Допустимый лимит остатка установлен приказам МКУ «ЦБ по ведению учета в сфере образования» от 09.01.2017 № 01-0 и составил 117470,00 рублей, расчет лимита произведен в соответствии с положением о порядке ведения кассовых операций с банкнотами и монетой Банка России                           на территории Российской Федерации от 11.03.2014 № 3210-У. Превышение указанного лимита остатка денежной наличности в кассе ДОУ в 2017 году                   не установлено.</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В проверяемом периоде обязанности кассира исполняла бухгалтер МКУ «ЦБ по ведению учета в сфере образования» Н.П. Усачева, с которой заключен договор о полной материальной ответственности.</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Операции по расчетам с подотчетными лицами в проверяемом периоде не осуществлялись, что подтверждается отчетом об исполнении бюджета МБДОУ «Детский сад присмотра и оздоровления № 27 за 2017 год.</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Сотрудники ДОУ в служебные командировки не направлялись.</w:t>
      </w:r>
    </w:p>
    <w:p>
      <w:pPr>
        <w:pStyle w:val="Normal"/>
        <w:spacing w:lineRule="auto" w:line="240" w:before="0" w:after="0"/>
        <w:ind w:firstLine="709"/>
        <w:jc w:val="center"/>
        <w:rPr>
          <w:rFonts w:ascii="Times New Roman" w:hAnsi="Times New Roman" w:eastAsia="Times New Roman" w:cs="Times New Roman"/>
          <w:b/>
          <w:b/>
          <w:bCs/>
          <w:color w:val="222222"/>
          <w:sz w:val="28"/>
          <w:szCs w:val="28"/>
        </w:rPr>
      </w:pPr>
      <w:r>
        <w:rPr>
          <w:rFonts w:eastAsia="Times New Roman" w:cs="Times New Roman" w:ascii="Times New Roman" w:hAnsi="Times New Roman"/>
          <w:b/>
          <w:bCs/>
          <w:color w:val="222222"/>
          <w:sz w:val="28"/>
          <w:szCs w:val="28"/>
        </w:rPr>
        <w:t>Расчеты с поставщиками и подрядчиками.</w:t>
      </w:r>
    </w:p>
    <w:p>
      <w:pPr>
        <w:pStyle w:val="Normal"/>
        <w:spacing w:lineRule="auto" w:line="240" w:before="0" w:after="0"/>
        <w:ind w:firstLine="709"/>
        <w:jc w:val="center"/>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Согласно данным Баланса ДОУ по состоянию на 01.01.2018 г., просроченной дебиторской и кредиторской задолженности перед поставщиками и подрядчиками не числится. В годовом отчете отражена кредиторская задолженность в сумме 64930,90 рублей срок оплаты, которой наступает в январе 2018 года.</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В соответствии ст. 11 Федерального закона РФ от 06.12.2011 № 402-ФЗ «О бухгалтерском учете» и на основании, приказа МКУ «Управления образования администрации города Канска» от 29.08.2017 № 372-0, приказа МКУ «ЦБ по ведению учета в сфере образования от 29.08.2017 № 85-о                    «О проведении годовой инвентаризации» в ДОУ проведена инвентаризация обязательств по состоянию на 27.10.2017, заведующей МБДОУ «Детский сад присмотра и оздоровления № 27 был издан приказ о создании комиссии для проведения годовой инвентаризации от 20.10.2017 № 30-о. Инвентаризация проведена без нарушения сроков .</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Согласно акту инвентаризации расчетов с покупателями, поставщиками и прочими дебиторами, и кредиторами на 01.01.2017 г.                     по счетам 030200000 «Расчеты по принятым обязательствам», 020600000 «Расчеты по выданным авансам» не числится.</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В соответствии с методологией ведения бухгалтерского учета инвентаризация обязательств проводится на основании актов сверки взаиморасчетов, подписанных обеими сторонами хозяйственных операций.</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В ходе проверки установлено, что акты сверки взаиморасчетов                        не имеют конечное сальдо по состоянию на 01.01.2017 года. </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Согласно пункту 1.2 договора на бухгалтерском обслуживание                      (от 01.01.2013 № 1, от 01.01.2017 № 2), составление и предоставление бухгалтерской, налоговой и статистической отчетности осуществляется МКУ «ЦБ по ведению учета в сфере образования», указанное программное обеспечение установлено на компьютере, числящемся на балансе Централизованной бухгалтерии.</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Пунктом 7 постановления администрации города Канска от 16.11.2015 № 1663 «О порядке формирования муниципального задания на оказание муниципальных услуг (выполнение работ) муниципальными учреждениями   и финансового обеспечения выполнения этого задания» определено, что затраты на приобретение объектов движимого (в том числе, особо ценного имущества) и недвижимого имущества в нормативные затраты на оказание муниципальной услуги, а также в состав расходов на содержание имущества не включаются.</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r>
    </w:p>
    <w:p>
      <w:pPr>
        <w:pStyle w:val="Normal"/>
        <w:spacing w:lineRule="auto" w:line="240" w:before="0" w:after="0"/>
        <w:ind w:firstLine="709"/>
        <w:jc w:val="center"/>
        <w:rPr>
          <w:rFonts w:ascii="Times New Roman" w:hAnsi="Times New Roman" w:eastAsia="Times New Roman" w:cs="Times New Roman"/>
          <w:b/>
          <w:b/>
          <w:bCs/>
          <w:color w:val="222222"/>
          <w:sz w:val="28"/>
          <w:szCs w:val="28"/>
        </w:rPr>
      </w:pPr>
      <w:r>
        <w:rPr>
          <w:rFonts w:eastAsia="Times New Roman" w:cs="Times New Roman" w:ascii="Times New Roman" w:hAnsi="Times New Roman"/>
          <w:b/>
          <w:bCs/>
          <w:color w:val="222222"/>
          <w:sz w:val="28"/>
          <w:szCs w:val="28"/>
        </w:rPr>
        <w:t>Проверка учета основных средств и материальных ценностей.</w:t>
      </w:r>
    </w:p>
    <w:p>
      <w:pPr>
        <w:pStyle w:val="Normal"/>
        <w:spacing w:lineRule="auto" w:line="240" w:before="0" w:after="0"/>
        <w:ind w:firstLine="709"/>
        <w:jc w:val="center"/>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Имущество ДОУ закреплено комитетом по управлению муниципальным имуществом города Канска на праве оперативного управления по распоряжению Муниципального ДОУ «Комитет                      по управлению муниципальным имуществом города Канска» от 07.10.2010 № 209 выдано Свидетельство о государственной регистрации права Управление Федеральной государственной регистрации, кадастра                                и картографии по Красноярскому краю от 07.12.2010 года. Помещение общей площадью 1039 кв. м, инв.№ 7718, лит. А расположенное по адресу: Красноярский край, г. Канск, ул. Волго-Донская, д.11.</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Учреждению передано муниципальное имущество первоначальной стоимостью 6750831,32 рубль; остаточной стоимостью – 1929424,37 рубля,                в том числе:</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 </w:t>
      </w:r>
      <w:r>
        <w:rPr>
          <w:rFonts w:eastAsia="Times New Roman" w:cs="Times New Roman" w:ascii="Times New Roman" w:hAnsi="Times New Roman"/>
          <w:color w:val="222222"/>
          <w:sz w:val="28"/>
          <w:szCs w:val="28"/>
        </w:rPr>
        <w:t>недвижимое имущество первоначальной стоимостью – 5 004 340,97 рублей; остаточной стоимостью – 1 682 205,13 рублей;</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 </w:t>
      </w:r>
      <w:r>
        <w:rPr>
          <w:rFonts w:eastAsia="Times New Roman" w:cs="Times New Roman" w:ascii="Times New Roman" w:hAnsi="Times New Roman"/>
          <w:color w:val="222222"/>
          <w:sz w:val="28"/>
          <w:szCs w:val="28"/>
        </w:rPr>
        <w:t>особо ценное движимое имущество первоначальной стоимостью – 1 503 250,35 рублей, остаточной стоимостью – 247 219,24 рублей.</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ДОУ имеет в постоянном бессрочном пользовании земельный участок площадью 5657.52 кв. м, расположенный по адресу: г. Канск, ул. Волго-Донская д. 11 (свидетельство о государственной регистрации права                           от 10.07.2000, серия 24 АМ, № 005593). Кадастровая стоимость земельного участка составляет 5 493 225,62 рублей.</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В соответствии с п. 71 Инструкцией № 157н, земельные участки, полученные на праве постоянного (бессрочного) пользования, учтены ДОУ на счете 10300 «Непроизводственные активы». Нарушений в бухгалтерском учете не обнаружено. </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При проверке соблюдения порядка проведения инвентаризации нефинансовых активов, предусмотренного приказом Министерства финансов Российской Федерации от 13.06.1995 г. № 49 (с внесенными изменениями) «Об утверждении методических указаний по инвентаризации имущества                  и финансовых обязательств» (далее – методические указания) установлено.</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На основании приказа заведующей ДОУ от 20.10.2017 № 30-о назначена инвентаризационная комиссия и определены сроки проведения инвентаризации.</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Согласно данным инвентаризационной описи №1 по объектам нефинансовых активов на 01.10.2017 г., инвентаризация производилась 20.10.2017 по 27.10.2017. В ходе проверки инвентаризационных описей недостач и излишек не обнаружено. </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Проверкой правильности расходования средств, выделенных                          на питание воспитанников МБДОУ «Детский сад присмотра и оздоровления № 27» города Канска, установлено.</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Для воспитанников ДОУ организовано четырехразовое питание.</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Средняя стоимость питания в расчете на одного ребенка составила                    в 2017 году 103,07 рублей.</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Выдача продуктов питания со склада производится по меню-требованию (форма 0504202), утвержденному руководителем ДОУ,                            и подписанному врачом, кладовщиком, поваром. Сведения из меню-требования после проверки заносятся в ежемесячную Накопительную ведомость по расходу продуктов питания (форма 0504038).</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В нарушение Приказа Минфина РФ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методическими указаниями                           по их применению» меню-требование, применяемое в ДОУ, не соответствует утвержденной форме (ф. 0504202) и не содержит подписи бухгалтера              (в учетной политике указано, что при наличии в учреждении остатков бланочной продукции, изготовленной в соответствии с требованиями классификатора утратившего силу, разрешить применение устаревших форм при условии наличия в них обязательных реквизитов в соответствии с п.2 ст.9 ФЗ от 06.12.2011 № 402-ФЗ). В устаревшем бланке подпись бухгалтера не предусмотрена.</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Медицинским работником ДОУ ведется журнал бракеража готовой кулинарной продукции, журнал бракеража поступающего продовольственного сырья и пищевых продуктов.</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Контроль посещаемости воспитанников дошкольного образовательного ДОУ осуществляется на основании внесенных данных в табель учета посещаемости детей (форма 504608). Данная форма заполняется ежедневно воспитателями групп.</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Аналитический учет продуктов питания ведется в Оборотной ведомости по нефинансовым активам. Записи в Оборотную ведомость                       по нефинансовым активам производятся на основании данных Накопительной ведомости по приходу продуктов питания и Накопительной ведомости по расходу продуктов питания. Ежемесячно в Оборотной ведомости по нефинансовым активам подсчитываются обороты и выводятся остатки на конец месяца, которые отражаются в Главной книге.</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Проверкой установлено, что сотрудники ДОУ получают ежедневное одноразовое питание – обед, состоящий из первого, второго и третьего блюда.</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Питание сотрудников производится из общего котла без права выноса, с оплатой стоимости сырьевого набора продуктов по себестоимости.</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Учет питающихся сотрудников возложен на старшую медицинскую сестру, заместителя руководителя по хозяйственной работе. Анализ расхода продуктов питания за 2017 год показал, что закладка продуктов на одного сотрудника при приготовлении обеда соответствует закладке продуктов                      на одного воспитанника. </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К проверке представлены технологические карты, утвержденным СанПин 2.4.1.3049-13 (Приложение 11). </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В ДОУ ведется накопительная ведомость по потреблению продуктов питания на одного ребенка с подсчетом калорийности и белков, жиров                       и углеводов (требование Роспотребнадзора). По накопительной ведомости норма потребления продуктов выдерживается, но при написании меню                    с использованием технологических карт, выданных инженером – технологом «ЦБ по ведению учета в сфере образования», имеются отклонения.</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r>
    </w:p>
    <w:p>
      <w:pPr>
        <w:pStyle w:val="Normal"/>
        <w:spacing w:lineRule="auto" w:line="240" w:before="0" w:after="0"/>
        <w:ind w:firstLine="709"/>
        <w:jc w:val="center"/>
        <w:rPr>
          <w:rFonts w:ascii="Times New Roman" w:hAnsi="Times New Roman" w:eastAsia="Times New Roman" w:cs="Times New Roman"/>
          <w:b/>
          <w:b/>
          <w:bCs/>
          <w:color w:val="222222"/>
          <w:sz w:val="28"/>
          <w:szCs w:val="28"/>
        </w:rPr>
      </w:pPr>
      <w:r>
        <w:rPr>
          <w:rFonts w:eastAsia="Times New Roman" w:cs="Times New Roman" w:ascii="Times New Roman" w:hAnsi="Times New Roman"/>
          <w:b/>
          <w:bCs/>
          <w:color w:val="222222"/>
          <w:sz w:val="28"/>
          <w:szCs w:val="28"/>
        </w:rPr>
        <w:t>Наличие имущества и обязательств на забалансовых счетах.</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Проверкой ведения учета имущества и обязательств на забалансовых счетах за 2017 годы установлено.</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Согласно Справке о наличии имущества и обязательств                                   на забалансовых счетах за 2017 год, ДОУ применялся:</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 </w:t>
      </w:r>
      <w:r>
        <w:rPr>
          <w:rFonts w:eastAsia="Times New Roman" w:cs="Times New Roman" w:ascii="Times New Roman" w:hAnsi="Times New Roman"/>
          <w:color w:val="222222"/>
          <w:sz w:val="28"/>
          <w:szCs w:val="28"/>
        </w:rPr>
        <w:t>Забалансовый счет 01 «Имущество полученное в пользование» имущество казны (движимое) входящий остаток 12800,00 рублей, исходящий остаток 12090,00 рублей;</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Забалансовый счет 03 «Бланки строгой отчетности» входящий остаток 0,00 рублей, исходящий остаток 70,00 рублей (журнал регистрации бланков строгой отчетности ведется);</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Забалансовый счет 10 «Обеспечение исполнения обязательств» банковские гарантии входящий остаток 0,00 рублей, исходящий остаток 41526,65 рублей;</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забалансовый счет 21 «Основные средства стоимостью до 3000 рублей включительно в эксплуатации» с входящим 511250,83 рублей и исходящим остатком 600924,83 рубля.</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Остатки по счету 21 «Основные средства стоимостью до 3000 рублей включительно в эксплуатации» соответствуют данным оборотной ведомости по нефинансовым активам (форма 0504035) на начало и конец 2017года.</w:t>
      </w:r>
    </w:p>
    <w:p>
      <w:pPr>
        <w:pStyle w:val="Normal"/>
        <w:spacing w:lineRule="auto" w:line="240" w:before="0" w:after="0"/>
        <w:ind w:firstLine="709"/>
        <w:jc w:val="both"/>
        <w:rPr>
          <w:rFonts w:ascii="Times New Roman" w:hAnsi="Times New Roman" w:eastAsia="Times New Roman" w:cs="Times New Roman"/>
          <w:b/>
          <w:b/>
          <w:bCs/>
          <w:color w:val="222222"/>
          <w:sz w:val="28"/>
          <w:szCs w:val="28"/>
        </w:rPr>
      </w:pPr>
      <w:r>
        <w:rPr>
          <w:rFonts w:eastAsia="Times New Roman" w:cs="Times New Roman" w:ascii="Times New Roman" w:hAnsi="Times New Roman"/>
          <w:b/>
          <w:bCs/>
          <w:color w:val="222222"/>
          <w:sz w:val="28"/>
          <w:szCs w:val="28"/>
        </w:rPr>
      </w:r>
    </w:p>
    <w:p>
      <w:pPr>
        <w:pStyle w:val="Normal"/>
        <w:spacing w:lineRule="auto" w:line="240" w:before="0" w:after="0"/>
        <w:ind w:firstLine="709"/>
        <w:jc w:val="center"/>
        <w:rPr>
          <w:rFonts w:ascii="Times New Roman" w:hAnsi="Times New Roman" w:eastAsia="Times New Roman" w:cs="Times New Roman"/>
          <w:b/>
          <w:b/>
          <w:bCs/>
          <w:color w:val="222222"/>
          <w:sz w:val="28"/>
          <w:szCs w:val="28"/>
        </w:rPr>
      </w:pPr>
      <w:r>
        <w:rPr>
          <w:rFonts w:eastAsia="Times New Roman" w:cs="Times New Roman" w:ascii="Times New Roman" w:hAnsi="Times New Roman"/>
          <w:b/>
          <w:bCs/>
          <w:color w:val="222222"/>
          <w:sz w:val="28"/>
          <w:szCs w:val="28"/>
        </w:rPr>
        <w:t>Проверка правильности начисления и обоснованности выплаты заработной платы.</w:t>
      </w:r>
    </w:p>
    <w:p>
      <w:pPr>
        <w:pStyle w:val="Normal"/>
        <w:spacing w:lineRule="auto" w:line="240" w:before="0" w:after="0"/>
        <w:ind w:firstLine="709"/>
        <w:jc w:val="center"/>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В проверяемом периоде оплата труда работников МБДОУ «Детский сад присмотра и оздоровления № 27» города Канска производилась                          на основании:</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 </w:t>
      </w:r>
      <w:r>
        <w:rPr>
          <w:rFonts w:eastAsia="Times New Roman" w:cs="Times New Roman" w:ascii="Times New Roman" w:hAnsi="Times New Roman"/>
          <w:color w:val="222222"/>
          <w:sz w:val="28"/>
          <w:szCs w:val="28"/>
        </w:rPr>
        <w:t>решения Канского городского Совета депутатов от 26.01.2010            № 71-663 «О положении о системе оплаты труда работников муниципальных образовательных учреждений, и иных учреждений в сфере образования города Канска» с внесенными изменениями;</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Системой оплаты труда ДОУ предусмотрены:</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 </w:t>
      </w:r>
      <w:r>
        <w:rPr>
          <w:rFonts w:eastAsia="Times New Roman" w:cs="Times New Roman" w:ascii="Times New Roman" w:hAnsi="Times New Roman"/>
          <w:color w:val="222222"/>
          <w:sz w:val="28"/>
          <w:szCs w:val="28"/>
        </w:rPr>
        <w:t>оклады (должностные оклады), ставки заработной платы;</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 </w:t>
      </w:r>
      <w:r>
        <w:rPr>
          <w:rFonts w:eastAsia="Times New Roman" w:cs="Times New Roman" w:ascii="Times New Roman" w:hAnsi="Times New Roman"/>
          <w:color w:val="222222"/>
          <w:sz w:val="28"/>
          <w:szCs w:val="28"/>
        </w:rPr>
        <w:t>выплаты компенсационного характера;</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 </w:t>
      </w:r>
      <w:r>
        <w:rPr>
          <w:rFonts w:eastAsia="Times New Roman" w:cs="Times New Roman" w:ascii="Times New Roman" w:hAnsi="Times New Roman"/>
          <w:color w:val="222222"/>
          <w:sz w:val="28"/>
          <w:szCs w:val="28"/>
        </w:rPr>
        <w:t>выплаты стимулирующего характера.</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В проверяемом периоде в Учреждении действовали Коллективный договор МБДОУ «Детский сад присмотра и оздоровления № 27» города Канска на 2015-2018 гг., принятый на общем собрании трудового коллектива и зарегистрированный в комитете по труду и социальному развитию 15.06.2015 регистрационный № 29, а также Положение об оплате труда                       и Правила внутреннего трудового распорядка, являющиеся приложением                     к Коллективному договору.</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Штатное расписание ДОУ утверждено заведующей ДОУ                      на 04.12.2017 г. в количестве 35,5 штатных единиц и фондом оплаты труда                в месяц 621 525,92 рубля. </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Планом финансово-хозяйственной деятельности от 01.01.2018 утверждены средства на оплату труда с начислениями в объеме 10 659 055,92 рубля. </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На основании постановления администрации города Канска                                от 30.09.2014 № 1625 «Об утверждении Примерного положения об оплате труда работников муниципальных бюджетных и казенных учреждений города Канска, подведомственных муниципальных казенных учреждений «Управления образования города Канска», в соответствии с коллективным договором МБДОУ № 27 комиссия устанавливает выплаты стимулирующего характера по следующим показателям:</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выплаты за важность выполняемой работы;</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выплаты за интенсивность и высокие результаты работы;</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выплаты за качество выполняемых работ.</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Стоимость 1 балла составляет 200 рублей для педагогических работникам, для обслуживающего персонала стоимость 1 балла составляет 100 рублей.</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Приказы «Об установлении стимулирующих выплат работникам МБДОУ № 27, протоколы заседания комиссии по распределению стимулирующих проводятся ежемесячно. В протоколах предоставленные баллы работникам по итогам месяца не превышают предельной нормы согласно коллективного договора (приложение № 1).</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По начислению заработной платы нарушений не выявлено.</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r>
    </w:p>
    <w:p>
      <w:pPr>
        <w:pStyle w:val="Normal"/>
        <w:spacing w:lineRule="auto" w:line="240" w:before="0" w:after="0"/>
        <w:ind w:firstLine="709"/>
        <w:jc w:val="both"/>
        <w:rPr>
          <w:rFonts w:ascii="Times New Roman" w:hAnsi="Times New Roman" w:eastAsia="Times New Roman" w:cs="Times New Roman"/>
          <w:b/>
          <w:b/>
          <w:bCs/>
          <w:color w:val="222222"/>
          <w:sz w:val="28"/>
          <w:szCs w:val="28"/>
        </w:rPr>
      </w:pPr>
      <w:r>
        <w:rPr>
          <w:rFonts w:eastAsia="Times New Roman" w:cs="Times New Roman" w:ascii="Times New Roman" w:hAnsi="Times New Roman"/>
          <w:b/>
          <w:bCs/>
          <w:color w:val="222222"/>
          <w:sz w:val="28"/>
          <w:szCs w:val="28"/>
        </w:rPr>
        <w:t>Всего в ходе проверки установлено:</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1. В нарушение Приказа Минфина РФ от 30.03.2015 г.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академиями наук, государственными (муниципальными) учреждениями,                  и Методических указаний по их применению», Санитарно-эпидемиологических требований к устройству, содержанию и организации режима работы в дошкольных организациях (СанПин 2.4.1.3049-13), утвержденных постановлением Главного государственного санитарного врача РФ от 15.05.2013 г. № 26:</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 xml:space="preserve">– </w:t>
      </w:r>
      <w:r>
        <w:rPr>
          <w:rFonts w:eastAsia="Times New Roman" w:cs="Times New Roman" w:ascii="Times New Roman" w:hAnsi="Times New Roman"/>
          <w:color w:val="222222"/>
          <w:sz w:val="28"/>
          <w:szCs w:val="28"/>
        </w:rPr>
        <w:t>меню-требование, применяемое в ДОУ для списания продуктов питания, не соответствует установленной форме 0504202 и не содержит подписей ответственных лиц.</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r>
    </w:p>
    <w:p>
      <w:pPr>
        <w:pStyle w:val="Normal"/>
        <w:spacing w:lineRule="auto" w:line="240" w:before="0" w:after="0"/>
        <w:ind w:firstLine="709"/>
        <w:jc w:val="both"/>
        <w:rPr>
          <w:rFonts w:ascii="Times New Roman" w:hAnsi="Times New Roman" w:eastAsia="Times New Roman" w:cs="Times New Roman"/>
          <w:b/>
          <w:b/>
          <w:color w:val="222222"/>
          <w:sz w:val="28"/>
          <w:szCs w:val="28"/>
        </w:rPr>
      </w:pPr>
      <w:r>
        <w:rPr>
          <w:rFonts w:eastAsia="Times New Roman" w:cs="Times New Roman" w:ascii="Times New Roman" w:hAnsi="Times New Roman"/>
          <w:b/>
          <w:color w:val="222222"/>
          <w:sz w:val="28"/>
          <w:szCs w:val="28"/>
        </w:rPr>
      </w:r>
    </w:p>
    <w:p>
      <w:pPr>
        <w:pStyle w:val="Normal"/>
        <w:spacing w:lineRule="auto" w:line="240" w:before="0" w:after="0"/>
        <w:ind w:firstLine="709"/>
        <w:jc w:val="both"/>
        <w:rPr>
          <w:rFonts w:ascii="Times New Roman" w:hAnsi="Times New Roman" w:eastAsia="Times New Roman" w:cs="Times New Roman"/>
          <w:b/>
          <w:b/>
          <w:color w:val="222222"/>
          <w:sz w:val="28"/>
          <w:szCs w:val="28"/>
        </w:rPr>
      </w:pPr>
      <w:r>
        <w:rPr>
          <w:rFonts w:eastAsia="Times New Roman" w:cs="Times New Roman" w:ascii="Times New Roman" w:hAnsi="Times New Roman"/>
          <w:b/>
          <w:color w:val="222222"/>
          <w:sz w:val="28"/>
          <w:szCs w:val="28"/>
        </w:rPr>
      </w:r>
    </w:p>
    <w:p>
      <w:pPr>
        <w:pStyle w:val="Normal"/>
        <w:spacing w:lineRule="auto" w:line="240" w:before="0" w:after="0"/>
        <w:ind w:firstLine="709"/>
        <w:jc w:val="both"/>
        <w:rPr>
          <w:rFonts w:ascii="Times New Roman" w:hAnsi="Times New Roman" w:eastAsia="Times New Roman" w:cs="Times New Roman"/>
          <w:b/>
          <w:b/>
          <w:color w:val="222222"/>
          <w:sz w:val="28"/>
          <w:szCs w:val="28"/>
        </w:rPr>
      </w:pPr>
      <w:r>
        <w:rPr>
          <w:rFonts w:eastAsia="Times New Roman" w:cs="Times New Roman" w:ascii="Times New Roman" w:hAnsi="Times New Roman"/>
          <w:b/>
          <w:color w:val="222222"/>
          <w:sz w:val="28"/>
          <w:szCs w:val="28"/>
        </w:rPr>
        <w:t>ВЫВОДЫ:</w:t>
      </w:r>
    </w:p>
    <w:p>
      <w:pPr>
        <w:pStyle w:val="Normal"/>
        <w:spacing w:lineRule="auto" w:line="240" w:before="0" w:after="0"/>
        <w:ind w:firstLine="709"/>
        <w:jc w:val="both"/>
        <w:rPr>
          <w:rFonts w:ascii="Times New Roman" w:hAnsi="Times New Roman" w:eastAsia="Times New Roman" w:cs="Times New Roman"/>
          <w:color w:val="222222"/>
          <w:sz w:val="28"/>
          <w:szCs w:val="28"/>
        </w:rPr>
      </w:pPr>
      <w:r>
        <w:rPr>
          <w:rFonts w:eastAsia="Times New Roman" w:cs="Times New Roman" w:ascii="Times New Roman" w:hAnsi="Times New Roman"/>
          <w:color w:val="222222"/>
          <w:sz w:val="28"/>
          <w:szCs w:val="28"/>
        </w:rPr>
        <w:t>Привести в соответствие меню-требование согласно                                   с установленной формой (0504202) приказа № 52н, или ввести в бланки устаревшей формы подпись бухгалтера.</w:t>
      </w:r>
    </w:p>
    <w:p>
      <w:pPr>
        <w:pStyle w:val="Normal"/>
        <w:spacing w:lineRule="auto" w:line="240" w:before="0" w:after="0"/>
        <w:ind w:firstLine="709"/>
        <w:jc w:val="both"/>
        <w:rPr>
          <w:rFonts w:ascii="Times New Roman" w:hAnsi="Times New Roman" w:eastAsia="Times New Roman" w:cs="Times New Roman"/>
          <w:b/>
          <w:b/>
          <w:bCs/>
          <w:i/>
          <w:i/>
          <w:iCs/>
          <w:color w:val="222222"/>
          <w:sz w:val="28"/>
          <w:szCs w:val="28"/>
        </w:rPr>
      </w:pPr>
      <w:r>
        <w:rPr>
          <w:rFonts w:eastAsia="Times New Roman" w:cs="Times New Roman" w:ascii="Times New Roman" w:hAnsi="Times New Roman"/>
          <w:b/>
          <w:bCs/>
          <w:i/>
          <w:iCs/>
          <w:color w:val="222222"/>
          <w:sz w:val="28"/>
          <w:szCs w:val="28"/>
        </w:rPr>
      </w:r>
    </w:p>
    <w:p>
      <w:pPr>
        <w:pStyle w:val="Normal"/>
        <w:spacing w:lineRule="auto" w:line="240" w:before="0" w:after="0"/>
        <w:ind w:firstLine="709"/>
        <w:jc w:val="both"/>
        <w:rPr>
          <w:rFonts w:ascii="Times New Roman" w:hAnsi="Times New Roman" w:eastAsia="Times New Roman" w:cs="Times New Roman"/>
          <w:b/>
          <w:b/>
          <w:bCs/>
          <w:i/>
          <w:i/>
          <w:iCs/>
          <w:color w:val="222222"/>
          <w:sz w:val="28"/>
          <w:szCs w:val="28"/>
        </w:rPr>
      </w:pPr>
      <w:r>
        <w:rPr>
          <w:rFonts w:eastAsia="Times New Roman" w:cs="Times New Roman" w:ascii="Times New Roman" w:hAnsi="Times New Roman"/>
          <w:b/>
          <w:bCs/>
          <w:i/>
          <w:iCs/>
          <w:color w:val="222222"/>
          <w:sz w:val="28"/>
          <w:szCs w:val="28"/>
        </w:rPr>
      </w:r>
    </w:p>
    <w:p>
      <w:pPr>
        <w:pStyle w:val="Normal"/>
        <w:spacing w:lineRule="auto" w:line="240" w:before="0" w:after="0"/>
        <w:jc w:val="both"/>
        <w:rPr>
          <w:rFonts w:ascii="Times New Roman" w:hAnsi="Times New Roman" w:eastAsia="Times New Roman" w:cs="Times New Roman"/>
          <w:iCs/>
          <w:color w:val="222222"/>
          <w:sz w:val="28"/>
          <w:szCs w:val="28"/>
        </w:rPr>
      </w:pPr>
      <w:r>
        <w:rPr>
          <w:rFonts w:eastAsia="Times New Roman" w:cs="Times New Roman" w:ascii="Times New Roman" w:hAnsi="Times New Roman"/>
          <w:bCs/>
          <w:iCs/>
          <w:color w:val="222222"/>
          <w:sz w:val="28"/>
          <w:szCs w:val="28"/>
        </w:rPr>
        <w:t>Инспектор Контрольно-счетной палаты</w:t>
      </w:r>
    </w:p>
    <w:p>
      <w:pPr>
        <w:pStyle w:val="Normal"/>
        <w:spacing w:lineRule="auto" w:line="240" w:before="0" w:after="0"/>
        <w:jc w:val="both"/>
        <w:rPr>
          <w:rFonts w:ascii="Times New Roman" w:hAnsi="Times New Roman" w:eastAsia="Times New Roman" w:cs="Times New Roman"/>
          <w:bCs/>
          <w:iCs/>
          <w:color w:val="222222"/>
          <w:sz w:val="28"/>
          <w:szCs w:val="28"/>
        </w:rPr>
      </w:pPr>
      <w:r>
        <w:rPr>
          <w:rFonts w:eastAsia="Times New Roman" w:cs="Times New Roman" w:ascii="Times New Roman" w:hAnsi="Times New Roman"/>
          <w:bCs/>
          <w:iCs/>
          <w:color w:val="222222"/>
          <w:sz w:val="28"/>
          <w:szCs w:val="28"/>
        </w:rPr>
        <w:t>города Канска                                                                                        С.И. Рубан</w:t>
      </w:r>
    </w:p>
    <w:p>
      <w:pPr>
        <w:pStyle w:val="Normal"/>
        <w:spacing w:lineRule="auto" w:line="240" w:before="0" w:after="0"/>
        <w:jc w:val="both"/>
        <w:rPr>
          <w:rFonts w:ascii="Times New Roman" w:hAnsi="Times New Roman" w:eastAsia="Times New Roman" w:cs="Times New Roman"/>
          <w:bCs/>
          <w:iCs/>
          <w:color w:val="222222"/>
          <w:sz w:val="28"/>
          <w:szCs w:val="28"/>
        </w:rPr>
      </w:pPr>
      <w:r>
        <w:rPr>
          <w:rFonts w:eastAsia="Times New Roman" w:cs="Times New Roman" w:ascii="Times New Roman" w:hAnsi="Times New Roman"/>
          <w:bCs/>
          <w:iCs/>
          <w:color w:val="222222"/>
          <w:sz w:val="28"/>
          <w:szCs w:val="28"/>
        </w:rPr>
      </w:r>
    </w:p>
    <w:p>
      <w:pPr>
        <w:pStyle w:val="Normal"/>
        <w:spacing w:lineRule="auto" w:line="240" w:before="0" w:after="0"/>
        <w:jc w:val="both"/>
        <w:rPr>
          <w:rFonts w:ascii="Times New Roman" w:hAnsi="Times New Roman" w:eastAsia="Times New Roman" w:cs="Times New Roman"/>
          <w:bCs/>
          <w:iCs/>
          <w:color w:val="222222"/>
          <w:sz w:val="28"/>
          <w:szCs w:val="28"/>
        </w:rPr>
      </w:pPr>
      <w:r>
        <w:rPr>
          <w:rFonts w:eastAsia="Times New Roman" w:cs="Times New Roman" w:ascii="Times New Roman" w:hAnsi="Times New Roman"/>
          <w:bCs/>
          <w:iCs/>
          <w:color w:val="222222"/>
          <w:sz w:val="28"/>
          <w:szCs w:val="28"/>
        </w:rPr>
      </w:r>
    </w:p>
    <w:p>
      <w:pPr>
        <w:pStyle w:val="Normal"/>
        <w:spacing w:lineRule="auto" w:line="240" w:before="0" w:after="0"/>
        <w:jc w:val="both"/>
        <w:rPr>
          <w:rFonts w:ascii="Times New Roman" w:hAnsi="Times New Roman" w:eastAsia="Times New Roman" w:cs="Times New Roman"/>
          <w:bCs/>
          <w:iCs/>
          <w:color w:val="222222"/>
          <w:sz w:val="28"/>
          <w:szCs w:val="28"/>
        </w:rPr>
      </w:pPr>
      <w:r>
        <w:rPr>
          <w:rFonts w:eastAsia="Times New Roman" w:cs="Times New Roman" w:ascii="Times New Roman" w:hAnsi="Times New Roman"/>
          <w:bCs/>
          <w:iCs/>
          <w:color w:val="222222"/>
          <w:sz w:val="28"/>
          <w:szCs w:val="28"/>
        </w:rPr>
      </w:r>
    </w:p>
    <w:p>
      <w:pPr>
        <w:pStyle w:val="Normal"/>
        <w:spacing w:lineRule="auto" w:line="240" w:before="0" w:after="0"/>
        <w:jc w:val="both"/>
        <w:rPr>
          <w:rFonts w:ascii="Times New Roman" w:hAnsi="Times New Roman" w:eastAsia="Times New Roman" w:cs="Times New Roman"/>
          <w:bCs/>
          <w:iCs/>
          <w:color w:val="222222"/>
          <w:sz w:val="28"/>
          <w:szCs w:val="28"/>
        </w:rPr>
      </w:pPr>
      <w:r>
        <w:rPr>
          <w:rFonts w:eastAsia="Times New Roman" w:cs="Times New Roman" w:ascii="Times New Roman" w:hAnsi="Times New Roman"/>
          <w:bCs/>
          <w:iCs/>
          <w:color w:val="222222"/>
          <w:sz w:val="28"/>
          <w:szCs w:val="28"/>
        </w:rPr>
        <w:t>ОЗНАКОМЛЕНЫ:</w:t>
      </w:r>
    </w:p>
    <w:p>
      <w:pPr>
        <w:pStyle w:val="Normal"/>
        <w:spacing w:lineRule="auto" w:line="240" w:before="0" w:after="0"/>
        <w:jc w:val="both"/>
        <w:rPr>
          <w:rFonts w:ascii="Times New Roman" w:hAnsi="Times New Roman" w:eastAsia="Times New Roman" w:cs="Times New Roman"/>
          <w:bCs/>
          <w:iCs/>
          <w:color w:val="222222"/>
          <w:sz w:val="28"/>
          <w:szCs w:val="28"/>
        </w:rPr>
      </w:pPr>
      <w:r>
        <w:rPr>
          <w:rFonts w:eastAsia="Times New Roman" w:cs="Times New Roman" w:ascii="Times New Roman" w:hAnsi="Times New Roman"/>
          <w:bCs/>
          <w:iCs/>
          <w:color w:val="222222"/>
          <w:sz w:val="28"/>
          <w:szCs w:val="28"/>
        </w:rPr>
      </w:r>
    </w:p>
    <w:p>
      <w:pPr>
        <w:pStyle w:val="Normal"/>
        <w:spacing w:lineRule="auto" w:line="240" w:before="0" w:after="0"/>
        <w:jc w:val="both"/>
        <w:rPr>
          <w:rFonts w:ascii="Times New Roman" w:hAnsi="Times New Roman" w:eastAsia="Times New Roman" w:cs="Times New Roman"/>
          <w:bCs/>
          <w:iCs/>
          <w:color w:val="222222"/>
          <w:sz w:val="28"/>
          <w:szCs w:val="28"/>
        </w:rPr>
      </w:pPr>
      <w:r>
        <w:rPr>
          <w:rFonts w:eastAsia="Times New Roman" w:cs="Times New Roman" w:ascii="Times New Roman" w:hAnsi="Times New Roman"/>
          <w:bCs/>
          <w:iCs/>
          <w:color w:val="222222"/>
          <w:sz w:val="28"/>
          <w:szCs w:val="28"/>
        </w:rPr>
        <w:t xml:space="preserve">Директор МКУ «ЦБ по ведению учета </w:t>
      </w:r>
    </w:p>
    <w:p>
      <w:pPr>
        <w:pStyle w:val="Normal"/>
        <w:spacing w:lineRule="auto" w:line="240" w:before="0" w:after="0"/>
        <w:jc w:val="both"/>
        <w:rPr>
          <w:rFonts w:ascii="Times New Roman" w:hAnsi="Times New Roman" w:eastAsia="Times New Roman" w:cs="Times New Roman"/>
          <w:bCs/>
          <w:iCs/>
          <w:color w:val="222222"/>
          <w:sz w:val="28"/>
          <w:szCs w:val="28"/>
        </w:rPr>
      </w:pPr>
      <w:r>
        <w:rPr>
          <w:rFonts w:eastAsia="Times New Roman" w:cs="Times New Roman" w:ascii="Times New Roman" w:hAnsi="Times New Roman"/>
          <w:bCs/>
          <w:iCs/>
          <w:color w:val="222222"/>
          <w:sz w:val="28"/>
          <w:szCs w:val="28"/>
        </w:rPr>
        <w:t>в сфере образования»                                                                              В.В. Фукс</w:t>
      </w:r>
    </w:p>
    <w:p>
      <w:pPr>
        <w:pStyle w:val="Normal"/>
        <w:spacing w:lineRule="auto" w:line="240" w:before="0" w:after="0"/>
        <w:jc w:val="both"/>
        <w:rPr>
          <w:rFonts w:ascii="Times New Roman" w:hAnsi="Times New Roman" w:eastAsia="Times New Roman" w:cs="Times New Roman"/>
          <w:bCs/>
          <w:iCs/>
          <w:color w:val="222222"/>
          <w:sz w:val="28"/>
          <w:szCs w:val="28"/>
        </w:rPr>
      </w:pPr>
      <w:r>
        <w:rPr>
          <w:rFonts w:eastAsia="Times New Roman" w:cs="Times New Roman" w:ascii="Times New Roman" w:hAnsi="Times New Roman"/>
          <w:bCs/>
          <w:iCs/>
          <w:color w:val="222222"/>
          <w:sz w:val="28"/>
          <w:szCs w:val="28"/>
        </w:rPr>
      </w:r>
    </w:p>
    <w:p>
      <w:pPr>
        <w:pStyle w:val="Normal"/>
        <w:spacing w:lineRule="auto" w:line="240" w:before="0" w:after="0"/>
        <w:jc w:val="both"/>
        <w:rPr>
          <w:rFonts w:ascii="Times New Roman" w:hAnsi="Times New Roman" w:eastAsia="Times New Roman" w:cs="Times New Roman"/>
          <w:bCs/>
          <w:iCs/>
          <w:color w:val="222222"/>
          <w:sz w:val="28"/>
          <w:szCs w:val="28"/>
        </w:rPr>
      </w:pPr>
      <w:r>
        <w:rPr>
          <w:rFonts w:eastAsia="Times New Roman" w:cs="Times New Roman" w:ascii="Times New Roman" w:hAnsi="Times New Roman"/>
          <w:bCs/>
          <w:iCs/>
          <w:color w:val="222222"/>
          <w:sz w:val="28"/>
          <w:szCs w:val="28"/>
        </w:rPr>
      </w:r>
    </w:p>
    <w:p>
      <w:pPr>
        <w:pStyle w:val="Normal"/>
        <w:spacing w:lineRule="auto" w:line="240" w:before="0" w:after="0"/>
        <w:jc w:val="both"/>
        <w:rPr>
          <w:rFonts w:ascii="Times New Roman" w:hAnsi="Times New Roman" w:eastAsia="Times New Roman" w:cs="Times New Roman"/>
          <w:bCs/>
          <w:iCs/>
          <w:color w:val="222222"/>
          <w:sz w:val="28"/>
          <w:szCs w:val="28"/>
        </w:rPr>
      </w:pPr>
      <w:r>
        <w:rPr>
          <w:rFonts w:eastAsia="Times New Roman" w:cs="Times New Roman" w:ascii="Times New Roman" w:hAnsi="Times New Roman"/>
          <w:bCs/>
          <w:iCs/>
          <w:color w:val="222222"/>
          <w:sz w:val="28"/>
          <w:szCs w:val="28"/>
        </w:rPr>
      </w:r>
    </w:p>
    <w:p>
      <w:pPr>
        <w:pStyle w:val="Normal"/>
        <w:spacing w:lineRule="auto" w:line="240" w:before="0" w:after="0"/>
        <w:jc w:val="both"/>
        <w:rPr>
          <w:rFonts w:ascii="Times New Roman" w:hAnsi="Times New Roman" w:eastAsia="Times New Roman" w:cs="Times New Roman"/>
          <w:bCs/>
          <w:iCs/>
          <w:color w:val="222222"/>
          <w:sz w:val="28"/>
          <w:szCs w:val="28"/>
        </w:rPr>
      </w:pPr>
      <w:r>
        <w:rPr>
          <w:rFonts w:eastAsia="Times New Roman" w:cs="Times New Roman" w:ascii="Times New Roman" w:hAnsi="Times New Roman"/>
          <w:bCs/>
          <w:iCs/>
          <w:color w:val="222222"/>
          <w:sz w:val="28"/>
          <w:szCs w:val="28"/>
        </w:rPr>
        <w:t>Заведующая МБДОУ «Детского сада</w:t>
      </w:r>
    </w:p>
    <w:p>
      <w:pPr>
        <w:pStyle w:val="Normal"/>
        <w:spacing w:lineRule="auto" w:line="240" w:before="0" w:after="0"/>
        <w:jc w:val="both"/>
        <w:rPr>
          <w:rFonts w:ascii="Times New Roman" w:hAnsi="Times New Roman" w:eastAsia="Times New Roman" w:cs="Times New Roman"/>
          <w:bCs/>
          <w:iCs/>
          <w:color w:val="222222"/>
          <w:sz w:val="28"/>
          <w:szCs w:val="28"/>
        </w:rPr>
      </w:pPr>
      <w:r>
        <w:rPr>
          <w:rFonts w:eastAsia="Times New Roman" w:cs="Times New Roman" w:ascii="Times New Roman" w:hAnsi="Times New Roman"/>
          <w:bCs/>
          <w:iCs/>
          <w:color w:val="222222"/>
          <w:sz w:val="28"/>
          <w:szCs w:val="28"/>
        </w:rPr>
        <w:t>Присмотра и оздоровления № 27 «Солнышко»                           Л.П. Игнатьева</w:t>
      </w:r>
    </w:p>
    <w:tbl>
      <w:tblPr>
        <w:tblW w:w="900" w:type="dxa"/>
        <w:jc w:val="left"/>
        <w:tblInd w:w="0" w:type="dxa"/>
        <w:tblCellMar>
          <w:top w:w="0" w:type="dxa"/>
          <w:left w:w="0" w:type="dxa"/>
          <w:bottom w:w="0" w:type="dxa"/>
          <w:right w:w="0" w:type="dxa"/>
        </w:tblCellMar>
        <w:tblLook w:firstRow="1" w:noVBand="1" w:lastRow="0" w:firstColumn="1" w:lastColumn="0" w:noHBand="0" w:val="04a0"/>
      </w:tblPr>
      <w:tblGrid>
        <w:gridCol w:w="300"/>
        <w:gridCol w:w="300"/>
        <w:gridCol w:w="300"/>
      </w:tblGrid>
      <w:tr>
        <w:trPr>
          <w:trHeight w:val="503" w:hRule="exact"/>
        </w:trPr>
        <w:tc>
          <w:tcPr>
            <w:tcW w:w="300" w:type="dxa"/>
            <w:tcBorders/>
            <w:shd w:color="auto" w:fill="FFFFFF" w:val="clear"/>
          </w:tcPr>
          <w:p>
            <w:pPr>
              <w:pStyle w:val="Normal"/>
              <w:spacing w:lineRule="auto" w:line="0" w:before="0" w:after="0"/>
              <w:ind w:firstLine="709"/>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tc>
        <w:tc>
          <w:tcPr>
            <w:tcW w:w="300" w:type="dxa"/>
            <w:tcBorders/>
            <w:shd w:color="auto" w:fill="FFFFFF" w:val="clear"/>
          </w:tcPr>
          <w:p>
            <w:pPr>
              <w:pStyle w:val="Normal"/>
              <w:spacing w:lineRule="auto" w:line="0" w:before="0" w:after="0"/>
              <w:ind w:firstLine="709"/>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tc>
        <w:tc>
          <w:tcPr>
            <w:tcW w:w="300" w:type="dxa"/>
            <w:tcBorders/>
            <w:shd w:color="auto" w:fill="FFFFFF" w:val="clear"/>
          </w:tcPr>
          <w:p>
            <w:pPr>
              <w:pStyle w:val="Normal"/>
              <w:spacing w:lineRule="auto" w:line="0" w:before="0" w:after="0"/>
              <w:ind w:firstLine="709"/>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tc>
      </w:tr>
      <w:tr>
        <w:trPr>
          <w:trHeight w:val="503" w:hRule="atLeast"/>
        </w:trPr>
        <w:tc>
          <w:tcPr>
            <w:tcW w:w="300" w:type="dxa"/>
            <w:tcBorders/>
            <w:shd w:color="auto" w:fill="FFFFFF" w:val="clear"/>
          </w:tcPr>
          <w:p>
            <w:pPr>
              <w:pStyle w:val="Normal"/>
              <w:spacing w:lineRule="auto" w:line="0" w:before="0" w:after="0"/>
              <w:ind w:firstLine="709"/>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tc>
        <w:tc>
          <w:tcPr>
            <w:tcW w:w="300" w:type="dxa"/>
            <w:tcBorders/>
            <w:shd w:color="auto" w:fill="FFFFFF" w:val="clear"/>
          </w:tcPr>
          <w:p>
            <w:pPr>
              <w:pStyle w:val="Normal"/>
              <w:spacing w:lineRule="auto" w:line="0" w:before="0" w:after="0"/>
              <w:ind w:firstLine="709"/>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tc>
        <w:tc>
          <w:tcPr>
            <w:tcW w:w="300" w:type="dxa"/>
            <w:tcBorders/>
            <w:shd w:color="auto" w:fill="FFFFFF" w:val="clear"/>
          </w:tcPr>
          <w:p>
            <w:pPr>
              <w:pStyle w:val="Normal"/>
              <w:spacing w:lineRule="auto" w:line="0" w:before="0" w:after="0"/>
              <w:ind w:firstLine="709"/>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tc>
      </w:tr>
      <w:tr>
        <w:trPr>
          <w:trHeight w:val="503" w:hRule="exact"/>
        </w:trPr>
        <w:tc>
          <w:tcPr>
            <w:tcW w:w="300" w:type="dxa"/>
            <w:tcBorders/>
            <w:shd w:color="auto" w:fill="FFFFFF" w:val="clear"/>
          </w:tcPr>
          <w:p>
            <w:pPr>
              <w:pStyle w:val="Normal"/>
              <w:spacing w:lineRule="auto" w:line="0" w:before="0" w:after="0"/>
              <w:ind w:firstLine="709"/>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tc>
        <w:tc>
          <w:tcPr>
            <w:tcW w:w="300" w:type="dxa"/>
            <w:tcBorders/>
            <w:shd w:color="auto" w:fill="FFFFFF" w:val="clear"/>
          </w:tcPr>
          <w:p>
            <w:pPr>
              <w:pStyle w:val="Normal"/>
              <w:spacing w:lineRule="atLeast" w:line="270" w:before="0" w:after="0"/>
              <w:ind w:firstLine="709"/>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tc>
        <w:tc>
          <w:tcPr>
            <w:tcW w:w="300" w:type="dxa"/>
            <w:tcBorders/>
            <w:shd w:color="auto" w:fill="FFFFFF" w:val="clear"/>
          </w:tcPr>
          <w:p>
            <w:pPr>
              <w:pStyle w:val="Normal"/>
              <w:spacing w:lineRule="auto" w:line="0" w:before="0" w:after="0"/>
              <w:ind w:firstLine="709"/>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tc>
      </w:tr>
      <w:tr>
        <w:trPr>
          <w:trHeight w:val="503" w:hRule="exact"/>
        </w:trPr>
        <w:tc>
          <w:tcPr>
            <w:tcW w:w="300" w:type="dxa"/>
            <w:tcBorders/>
            <w:shd w:color="auto" w:fill="FFFFFF" w:val="clear"/>
          </w:tcPr>
          <w:p>
            <w:pPr>
              <w:pStyle w:val="Normal"/>
              <w:spacing w:lineRule="auto" w:line="0" w:before="0" w:after="0"/>
              <w:ind w:firstLine="709"/>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tc>
        <w:tc>
          <w:tcPr>
            <w:tcW w:w="300" w:type="dxa"/>
            <w:tcBorders/>
            <w:shd w:color="auto" w:fill="FFFFFF" w:val="clear"/>
          </w:tcPr>
          <w:p>
            <w:pPr>
              <w:pStyle w:val="Normal"/>
              <w:spacing w:lineRule="auto" w:line="0" w:before="0" w:after="0"/>
              <w:ind w:firstLine="709"/>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tc>
        <w:tc>
          <w:tcPr>
            <w:tcW w:w="300" w:type="dxa"/>
            <w:tcBorders/>
            <w:shd w:color="auto" w:fill="FFFFFF" w:val="clear"/>
          </w:tcPr>
          <w:p>
            <w:pPr>
              <w:pStyle w:val="Normal"/>
              <w:spacing w:lineRule="auto" w:line="0" w:before="0" w:after="0"/>
              <w:ind w:firstLine="709"/>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tc>
      </w:tr>
    </w:tbl>
    <w:p>
      <w:pPr>
        <w:pStyle w:val="Normal"/>
        <w:spacing w:before="0" w:after="200"/>
        <w:ind w:firstLine="709"/>
        <w:jc w:val="both"/>
        <w:rPr/>
      </w:pPr>
      <w:r>
        <w:rPr>
          <w:rFonts w:cs="Times New Roman" w:ascii="Times New Roman" w:hAnsi="Times New Roman"/>
          <w:sz w:val="28"/>
          <w:szCs w:val="28"/>
        </w:rPr>
        <w:t xml:space="preserve"> </w:t>
      </w:r>
    </w:p>
    <w:sectPr>
      <w:headerReference w:type="default" r:id="rId2"/>
      <w:footerReference w:type="default" r:id="rId3"/>
      <w:type w:val="nextPage"/>
      <w:pgSz w:w="11906" w:h="16838"/>
      <w:pgMar w:left="1701" w:right="851" w:header="709" w:top="1134"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roman"/>
    <w:pitch w:val="variable"/>
  </w:font>
  <w:font w:name="Tahoma">
    <w:charset w:val="cc"/>
    <w:family w:val="roman"/>
    <w:pitch w:val="variable"/>
  </w:font>
  <w:font w:name="Times New Roman">
    <w:charset w:val="cc"/>
    <w:family w:val="roman"/>
    <w:pitch w:val="variable"/>
  </w:font>
  <w:font w:name="Liberation Sans">
    <w:altName w:val="Arial"/>
    <w:charset w:val="cc"/>
    <w:family w:val="swiss"/>
    <w:pitch w:val="variable"/>
  </w:font>
  <w:font w:name="Courier New">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053312696"/>
    </w:sdtPr>
    <w:sdtContent>
      <w:p>
        <w:pPr>
          <w:pStyle w:val="Style23"/>
          <w:jc w:val="center"/>
          <w:rPr/>
        </w:pPr>
        <w:r>
          <w:rPr/>
          <w:fldChar w:fldCharType="begin"/>
        </w:r>
        <w:r>
          <w:rPr/>
          <w:instrText> PAGE </w:instrText>
        </w:r>
        <w:r>
          <w:rPr/>
          <w:fldChar w:fldCharType="separate"/>
        </w:r>
        <w:r>
          <w:rPr/>
          <w:t>15</w:t>
        </w:r>
        <w:r>
          <w:rPr/>
          <w:fldChar w:fldCharType="end"/>
        </w:r>
      </w:p>
    </w:sdtContent>
  </w:sdt>
  <w:p>
    <w:pPr>
      <w:pStyle w:val="Style23"/>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2"/>
      <w:rPr/>
    </w:pPr>
    <w:r>
      <w:rPr/>
    </w:r>
  </w:p>
</w:hdr>
</file>

<file path=word/settings.xml><?xml version="1.0" encoding="utf-8"?>
<w:settings xmlns:w="http://schemas.openxmlformats.org/wordprocessingml/2006/main">
  <w:zoom w:percent="100"/>
  <w:defaultTabStop w:val="708"/>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a233a"/>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1">
    <w:name w:val="Heading 1"/>
    <w:basedOn w:val="Normal"/>
    <w:link w:val="10"/>
    <w:uiPriority w:val="9"/>
    <w:qFormat/>
    <w:rsid w:val="009a3e28"/>
    <w:pPr>
      <w:spacing w:lineRule="auto" w:line="240" w:before="210" w:after="210"/>
      <w:outlineLvl w:val="0"/>
    </w:pPr>
    <w:rPr>
      <w:rFonts w:ascii="Arial" w:hAnsi="Arial" w:eastAsia="Times New Roman" w:cs="Arial"/>
      <w:b/>
      <w:bCs/>
      <w:kern w:val="2"/>
      <w:sz w:val="66"/>
      <w:szCs w:val="66"/>
    </w:rPr>
  </w:style>
  <w:style w:type="paragraph" w:styleId="4">
    <w:name w:val="Heading 4"/>
    <w:basedOn w:val="Normal"/>
    <w:link w:val="40"/>
    <w:uiPriority w:val="9"/>
    <w:qFormat/>
    <w:rsid w:val="009a3e28"/>
    <w:pPr>
      <w:spacing w:lineRule="auto" w:line="240" w:before="210" w:after="210"/>
      <w:outlineLvl w:val="3"/>
    </w:pPr>
    <w:rPr>
      <w:rFonts w:ascii="Arial" w:hAnsi="Arial" w:eastAsia="Times New Roman" w:cs="Arial"/>
      <w:b/>
      <w:bCs/>
      <w:sz w:val="35"/>
      <w:szCs w:val="35"/>
    </w:rPr>
  </w:style>
  <w:style w:type="character" w:styleId="DefaultParagraphFont" w:default="1">
    <w:name w:val="Default Paragraph Font"/>
    <w:uiPriority w:val="1"/>
    <w:semiHidden/>
    <w:unhideWhenUsed/>
    <w:qFormat/>
    <w:rPr/>
  </w:style>
  <w:style w:type="character" w:styleId="Style12" w:customStyle="1">
    <w:name w:val="Текст выноски Знак"/>
    <w:basedOn w:val="DefaultParagraphFont"/>
    <w:link w:val="a4"/>
    <w:uiPriority w:val="99"/>
    <w:semiHidden/>
    <w:qFormat/>
    <w:rsid w:val="00f47d6f"/>
    <w:rPr>
      <w:rFonts w:ascii="Tahoma" w:hAnsi="Tahoma" w:cs="Tahoma"/>
      <w:sz w:val="16"/>
      <w:szCs w:val="16"/>
    </w:rPr>
  </w:style>
  <w:style w:type="character" w:styleId="11" w:customStyle="1">
    <w:name w:val="Заголовок 1 Знак"/>
    <w:basedOn w:val="DefaultParagraphFont"/>
    <w:link w:val="1"/>
    <w:uiPriority w:val="9"/>
    <w:qFormat/>
    <w:rsid w:val="009a3e28"/>
    <w:rPr>
      <w:rFonts w:ascii="Arial" w:hAnsi="Arial" w:eastAsia="Times New Roman" w:cs="Arial"/>
      <w:b/>
      <w:bCs/>
      <w:kern w:val="2"/>
      <w:sz w:val="66"/>
      <w:szCs w:val="66"/>
    </w:rPr>
  </w:style>
  <w:style w:type="character" w:styleId="41" w:customStyle="1">
    <w:name w:val="Заголовок 4 Знак"/>
    <w:basedOn w:val="DefaultParagraphFont"/>
    <w:link w:val="4"/>
    <w:uiPriority w:val="9"/>
    <w:qFormat/>
    <w:rsid w:val="009a3e28"/>
    <w:rPr>
      <w:rFonts w:ascii="Arial" w:hAnsi="Arial" w:eastAsia="Times New Roman" w:cs="Arial"/>
      <w:b/>
      <w:bCs/>
      <w:sz w:val="35"/>
      <w:szCs w:val="35"/>
    </w:rPr>
  </w:style>
  <w:style w:type="character" w:styleId="Style13">
    <w:name w:val="Интернет-ссылка"/>
    <w:basedOn w:val="DefaultParagraphFont"/>
    <w:uiPriority w:val="99"/>
    <w:semiHidden/>
    <w:unhideWhenUsed/>
    <w:rsid w:val="009a3e28"/>
    <w:rPr>
      <w:strike w:val="false"/>
      <w:dstrike w:val="false"/>
      <w:color w:val="2BA6CB"/>
      <w:u w:val="none"/>
      <w:effect w:val="none"/>
    </w:rPr>
  </w:style>
  <w:style w:type="character" w:styleId="HTML" w:customStyle="1">
    <w:name w:val="Адрес HTML Знак"/>
    <w:basedOn w:val="DefaultParagraphFont"/>
    <w:link w:val="HTML"/>
    <w:uiPriority w:val="99"/>
    <w:semiHidden/>
    <w:qFormat/>
    <w:rsid w:val="009a3e28"/>
    <w:rPr>
      <w:rFonts w:ascii="Times New Roman" w:hAnsi="Times New Roman" w:eastAsia="Times New Roman" w:cs="Times New Roman"/>
      <w:i/>
      <w:iCs/>
      <w:sz w:val="24"/>
      <w:szCs w:val="24"/>
    </w:rPr>
  </w:style>
  <w:style w:type="character" w:styleId="Style14" w:customStyle="1">
    <w:name w:val="Верхний колонтитул Знак"/>
    <w:basedOn w:val="DefaultParagraphFont"/>
    <w:link w:val="a8"/>
    <w:uiPriority w:val="99"/>
    <w:qFormat/>
    <w:rsid w:val="003e09dd"/>
    <w:rPr/>
  </w:style>
  <w:style w:type="character" w:styleId="Style15" w:customStyle="1">
    <w:name w:val="Нижний колонтитул Знак"/>
    <w:basedOn w:val="DefaultParagraphFont"/>
    <w:link w:val="aa"/>
    <w:uiPriority w:val="99"/>
    <w:qFormat/>
    <w:rsid w:val="003e09dd"/>
    <w:rPr/>
  </w:style>
  <w:style w:type="paragraph" w:styleId="Style16">
    <w:name w:val="Заголовок"/>
    <w:basedOn w:val="Normal"/>
    <w:next w:val="Style17"/>
    <w:qFormat/>
    <w:pPr>
      <w:keepNext w:val="true"/>
      <w:spacing w:before="240" w:after="120"/>
    </w:pPr>
    <w:rPr>
      <w:rFonts w:ascii="Liberation Sans" w:hAnsi="Liberation Sans" w:eastAsia="Microsoft YaHei" w:cs="Arial"/>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Arial"/>
    </w:rPr>
  </w:style>
  <w:style w:type="paragraph" w:styleId="Style19">
    <w:name w:val="Caption"/>
    <w:basedOn w:val="Normal"/>
    <w:qFormat/>
    <w:pPr>
      <w:suppressLineNumbers/>
      <w:spacing w:before="120" w:after="120"/>
    </w:pPr>
    <w:rPr>
      <w:rFonts w:cs="Arial"/>
      <w:i/>
      <w:iCs/>
      <w:sz w:val="24"/>
      <w:szCs w:val="24"/>
    </w:rPr>
  </w:style>
  <w:style w:type="paragraph" w:styleId="Style20">
    <w:name w:val="Указатель"/>
    <w:basedOn w:val="Normal"/>
    <w:qFormat/>
    <w:pPr>
      <w:suppressLineNumbers/>
    </w:pPr>
    <w:rPr>
      <w:rFonts w:cs="Arial"/>
    </w:rPr>
  </w:style>
  <w:style w:type="paragraph" w:styleId="NormalWeb">
    <w:name w:val="Normal (Web)"/>
    <w:basedOn w:val="Normal"/>
    <w:uiPriority w:val="99"/>
    <w:semiHidden/>
    <w:unhideWhenUsed/>
    <w:qFormat/>
    <w:rsid w:val="00f47d6f"/>
    <w:pPr>
      <w:spacing w:lineRule="auto" w:line="240" w:before="0" w:after="150"/>
      <w:textAlignment w:val="baseline"/>
    </w:pPr>
    <w:rPr>
      <w:rFonts w:ascii="Times New Roman" w:hAnsi="Times New Roman" w:eastAsia="Times New Roman" w:cs="Times New Roman"/>
      <w:sz w:val="24"/>
      <w:szCs w:val="24"/>
    </w:rPr>
  </w:style>
  <w:style w:type="paragraph" w:styleId="BalloonText">
    <w:name w:val="Balloon Text"/>
    <w:basedOn w:val="Normal"/>
    <w:link w:val="a5"/>
    <w:uiPriority w:val="99"/>
    <w:semiHidden/>
    <w:unhideWhenUsed/>
    <w:qFormat/>
    <w:rsid w:val="00f47d6f"/>
    <w:pPr>
      <w:spacing w:lineRule="auto" w:line="240" w:before="0" w:after="0"/>
    </w:pPr>
    <w:rPr>
      <w:rFonts w:ascii="Tahoma" w:hAnsi="Tahoma" w:cs="Tahoma"/>
      <w:sz w:val="16"/>
      <w:szCs w:val="16"/>
    </w:rPr>
  </w:style>
  <w:style w:type="paragraph" w:styleId="Byline" w:customStyle="1">
    <w:name w:val="byline"/>
    <w:basedOn w:val="Normal"/>
    <w:qFormat/>
    <w:rsid w:val="009a3e28"/>
    <w:pPr>
      <w:spacing w:lineRule="auto" w:line="240" w:beforeAutospacing="1" w:after="255"/>
    </w:pPr>
    <w:rPr>
      <w:rFonts w:ascii="Times New Roman" w:hAnsi="Times New Roman" w:eastAsia="Times New Roman" w:cs="Times New Roman"/>
      <w:sz w:val="21"/>
      <w:szCs w:val="21"/>
    </w:rPr>
  </w:style>
  <w:style w:type="paragraph" w:styleId="HTMLAddress">
    <w:name w:val="HTML Address"/>
    <w:basedOn w:val="Normal"/>
    <w:link w:val="HTML0"/>
    <w:uiPriority w:val="99"/>
    <w:semiHidden/>
    <w:unhideWhenUsed/>
    <w:qFormat/>
    <w:rsid w:val="009a3e28"/>
    <w:pPr>
      <w:spacing w:lineRule="auto" w:line="240" w:before="0" w:after="0"/>
    </w:pPr>
    <w:rPr>
      <w:rFonts w:ascii="Times New Roman" w:hAnsi="Times New Roman" w:eastAsia="Times New Roman" w:cs="Times New Roman"/>
      <w:i/>
      <w:iCs/>
      <w:sz w:val="24"/>
      <w:szCs w:val="24"/>
    </w:rPr>
  </w:style>
  <w:style w:type="paragraph" w:styleId="ListParagraph">
    <w:name w:val="List Paragraph"/>
    <w:basedOn w:val="Normal"/>
    <w:uiPriority w:val="34"/>
    <w:qFormat/>
    <w:rsid w:val="00b679f9"/>
    <w:pPr>
      <w:spacing w:before="0" w:after="200"/>
      <w:ind w:left="720" w:hanging="0"/>
      <w:contextualSpacing/>
    </w:pPr>
    <w:rPr/>
  </w:style>
  <w:style w:type="paragraph" w:styleId="Style21">
    <w:name w:val="Верхний и нижний колонтитулы"/>
    <w:basedOn w:val="Normal"/>
    <w:qFormat/>
    <w:pPr/>
    <w:rPr/>
  </w:style>
  <w:style w:type="paragraph" w:styleId="Style22">
    <w:name w:val="Header"/>
    <w:basedOn w:val="Normal"/>
    <w:link w:val="a9"/>
    <w:uiPriority w:val="99"/>
    <w:unhideWhenUsed/>
    <w:rsid w:val="003e09dd"/>
    <w:pPr>
      <w:tabs>
        <w:tab w:val="clear" w:pos="708"/>
        <w:tab w:val="center" w:pos="4677" w:leader="none"/>
        <w:tab w:val="right" w:pos="9355" w:leader="none"/>
      </w:tabs>
      <w:spacing w:lineRule="auto" w:line="240" w:before="0" w:after="0"/>
    </w:pPr>
    <w:rPr/>
  </w:style>
  <w:style w:type="paragraph" w:styleId="Style23">
    <w:name w:val="Footer"/>
    <w:basedOn w:val="Normal"/>
    <w:link w:val="ab"/>
    <w:uiPriority w:val="99"/>
    <w:unhideWhenUsed/>
    <w:rsid w:val="003e09dd"/>
    <w:pPr>
      <w:tabs>
        <w:tab w:val="clear" w:pos="708"/>
        <w:tab w:val="center" w:pos="4677" w:leader="none"/>
        <w:tab w:val="right" w:pos="9355" w:leader="none"/>
      </w:tabs>
      <w:spacing w:lineRule="auto" w:line="240" w:before="0" w:after="0"/>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17902-7E16-402F-B54E-C4C009A67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5816</TotalTime>
  <Application>LibreOffice/6.3.3.2$Windows_x86 LibreOffice_project/a64200df03143b798afd1ec74a12ab50359878ed</Application>
  <Pages>15</Pages>
  <Words>4291</Words>
  <Characters>29506</Characters>
  <CharactersWithSpaces>36113</CharactersWithSpaces>
  <Paragraphs>186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2017-10-30T03:14:00Z</dcterms:created>
  <dc:creator>Пользователь Windows</dc:creator>
  <dc:description/>
  <dc:language>ru-RU</dc:language>
  <cp:lastModifiedBy/>
  <cp:lastPrinted>2018-03-02T08:10:00Z</cp:lastPrinted>
  <dcterms:modified xsi:type="dcterms:W3CDTF">2019-12-30T09:03:50Z</dcterms:modified>
  <cp:revision>96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