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09.12.2016 № 1362     «Об утверждении муниципальной программы города Канска 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«Развитие образования»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Управлением образования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11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.2023 № 2</w:t>
      </w:r>
      <w:r>
        <w:rPr>
          <w:rFonts w:cs="Times New Roman" w:ascii="Times New Roman" w:hAnsi="Times New Roman"/>
          <w:sz w:val="28"/>
          <w:szCs w:val="28"/>
        </w:rPr>
        <w:t>721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 с учетом внесенных изменений.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образования».</w:t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12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декаб</w:t>
      </w:r>
      <w:r>
        <w:rPr>
          <w:rFonts w:cs="Times New Roman" w:ascii="Times New Roman" w:hAnsi="Times New Roman"/>
          <w:sz w:val="28"/>
          <w:szCs w:val="28"/>
        </w:rPr>
        <w:t>ря 2023 года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12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дека</w:t>
      </w:r>
      <w:r>
        <w:rPr>
          <w:rFonts w:cs="Times New Roman" w:ascii="Times New Roman" w:hAnsi="Times New Roman"/>
          <w:sz w:val="28"/>
          <w:szCs w:val="28"/>
        </w:rPr>
        <w:t>бря 2023 года.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Решение Канского городского Совета депутатов от 28.05.2019                 № 41-238 «Об утверждении стратегии социально-экономического развития города Канска до 2030 года»;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Закон Красноярского края от 26.06.2014 № 6-2519 (ред. от 22.06.2023)</w:t>
        <w:br/>
        <w:t>«Об образовании в Красноярском крае».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 с учетом внесенных изменений,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09.12.2016 №1362 «Об утверждении муниципальной программы города Канска «Развитие образования» 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11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.2023 № 2</w:t>
      </w:r>
      <w:r>
        <w:rPr>
          <w:rFonts w:cs="Times New Roman" w:ascii="Times New Roman" w:hAnsi="Times New Roman"/>
          <w:sz w:val="28"/>
          <w:szCs w:val="28"/>
        </w:rPr>
        <w:t>721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Управление образования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 соответствующей сфере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является:</w:t>
      </w:r>
    </w:p>
    <w:p>
      <w:pPr>
        <w:pStyle w:val="ConsPlusNormal"/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>
      <w:pPr>
        <w:pStyle w:val="ConsPlusNormal"/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Задачами настоящей программы являются: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spacing w:lineRule="auto" w:line="252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>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spacing w:lineRule="auto" w:line="252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Создать условия для эффективного управления системой образования города Канска.</w:t>
      </w:r>
    </w:p>
    <w:p>
      <w:pPr>
        <w:pStyle w:val="ConsPlusNormal"/>
        <w:tabs>
          <w:tab w:val="clear" w:pos="225"/>
          <w:tab w:val="left" w:pos="1134" w:leader="none"/>
        </w:tabs>
        <w:spacing w:lineRule="auto" w:line="252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225"/>
          <w:tab w:val="left" w:pos="1134" w:leader="none"/>
        </w:tabs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повысить удовлетворенность населения качеством образовательных услуг;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повысить привлекательность педагогической профессии и уровень квалификации преподавательских кадров;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сократить очередь на зачисление детей от одного года до трех лет в дошкольные образовательные организации;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создать условия, соответствующие требованиям федеральных государственных образовательных стандартов, в том числе для детей с ограниченными возможностями здоровья, умственной отсталостью в образовательных учреждениях;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  <w:t>создать условия для реализации программ дополнительного образования в соответствии с запросами населения, обеспечить проведение мероприятий для развития детских способностей и одаренности.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Качество реализации мероприятий программы будет оцениваться на основании основных целевых показателей программы.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Структура муниципальной программы города Канска «Развитие образования» предусматривает реализацию двух подпрограмм:</w:t>
      </w:r>
    </w:p>
    <w:p>
      <w:pPr>
        <w:pStyle w:val="ListParagraph"/>
        <w:numPr>
          <w:ilvl w:val="0"/>
          <w:numId w:val="2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1 «Развитие дошкольного, общего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».</w:t>
      </w:r>
    </w:p>
    <w:p>
      <w:pPr>
        <w:pStyle w:val="1"/>
        <w:shd w:val="clear" w:color="auto" w:fill="auto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  <w:lang w:val="ru-RU" w:eastAsia="en-US"/>
        </w:rPr>
        <w:t>Цель: 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период.</w:t>
      </w:r>
    </w:p>
    <w:p>
      <w:pPr>
        <w:pStyle w:val="1"/>
        <w:shd w:val="clear" w:color="auto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Задачи: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доступность дошкольного образования, соответствующего единому стандарту качества дошкольного образования;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обеспечить предоставление дополнительного образования, в том числе за счет разработки и реализации современных образовательных программ, дистанционных и сетевых форм их реализации;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выявлению и поддержке одаренных детей;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безопасный, качественный отдых и оздоровление детей;</w:t>
      </w:r>
    </w:p>
    <w:p>
      <w:pPr>
        <w:pStyle w:val="Normal"/>
        <w:numPr>
          <w:ilvl w:val="0"/>
          <w:numId w:val="4"/>
        </w:numPr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развитие профессиональной компетентности педагогов, создать систему дополнительных стимулов повышения имиджа педагогической профессии средствами событийных мероприятий и конкурсного движения;</w:t>
      </w:r>
    </w:p>
    <w:p>
      <w:pPr>
        <w:pStyle w:val="Normal"/>
        <w:numPr>
          <w:ilvl w:val="0"/>
          <w:numId w:val="4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kern w:val="2"/>
          <w:sz w:val="28"/>
          <w:szCs w:val="28"/>
        </w:rPr>
        <w:t>обеспечить психолого-педагогическую и социальную помощь детям, психолого-педагогическое и методическое сопровождение реализации основных общеобразовательных программ.</w:t>
      </w:r>
    </w:p>
    <w:p>
      <w:pPr>
        <w:pStyle w:val="Normal"/>
        <w:numPr>
          <w:ilvl w:val="0"/>
          <w:numId w:val="0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cs="Times New Roman"/>
          <w:bCs/>
          <w:kern w:val="2"/>
        </w:rPr>
      </w:pPr>
      <w:r>
        <w:rPr>
          <w:rFonts w:cs="Times New Roman"/>
          <w:bCs/>
          <w:kern w:val="2"/>
        </w:rPr>
      </w:r>
    </w:p>
    <w:p>
      <w:pPr>
        <w:pStyle w:val="ListParagraph"/>
        <w:numPr>
          <w:ilvl w:val="0"/>
          <w:numId w:val="2"/>
        </w:numPr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2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 w:ascii="Times New Roman" w:hAnsi="Times New Roman"/>
          <w:kern w:val="2"/>
          <w:sz w:val="28"/>
          <w:szCs w:val="28"/>
        </w:rPr>
        <w:t>».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Цель: создать условия для эффективного управления системой образования города Канска.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1. организовать деятельность органа Управления образования и учреждений, обеспечивающих деятельность образовательных учреждений, направленную на эффективное управление системой образования города Канска;</w:t>
      </w:r>
    </w:p>
    <w:p>
      <w:pPr>
        <w:pStyle w:val="Normal"/>
        <w:tabs>
          <w:tab w:val="clear" w:pos="225"/>
          <w:tab w:val="left" w:pos="4661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обеспечить методическое, информационное и инженерно-техническое сопровождение деятельности муниципальных образовательных учреждений города Канска</w:t>
      </w:r>
      <w:r>
        <w:rPr>
          <w:rFonts w:cs="Times New Roman" w:ascii="Times New Roman" w:hAnsi="Times New Roman"/>
          <w:color w:val="000000"/>
          <w:sz w:val="28"/>
          <w:szCs w:val="28"/>
        </w:rPr>
        <w:t>, ведение бухгалтерского, статистического и налогового учета муниципальных бюджетных и муниципальных автономных образовательных учреждений, организацию контроля за деятельностью</w:t>
      </w:r>
      <w:r>
        <w:rPr>
          <w:rFonts w:cs="Times New Roman" w:ascii="Times New Roman" w:hAnsi="Times New Roman"/>
          <w:sz w:val="28"/>
          <w:szCs w:val="28"/>
        </w:rPr>
        <w:t xml:space="preserve"> муниципальных образовательных учреждений города Канска.</w:t>
      </w:r>
    </w:p>
    <w:p>
      <w:pPr>
        <w:pStyle w:val="Normal"/>
        <w:tabs>
          <w:tab w:val="clear" w:pos="225"/>
          <w:tab w:val="left" w:pos="4661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Управление образования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федерального, краевого и городского бюджетов. Общий объем финансирования программы на 2023-2025 годы составляет 5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90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4 551 005,87</w:t>
      </w:r>
      <w:r>
        <w:rPr>
          <w:rFonts w:cs="Times New Roman" w:ascii="Times New Roman" w:hAnsi="Times New Roman"/>
          <w:sz w:val="28"/>
          <w:szCs w:val="28"/>
        </w:rPr>
        <w:t xml:space="preserve"> рублей, в том числе за счет средств федерального бюджета в сумме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33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2 461 268,78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рублей,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3 84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6 477 939,99</w:t>
      </w:r>
      <w:r>
        <w:rPr>
          <w:rFonts w:cs="Times New Roman" w:ascii="Times New Roman" w:hAnsi="Times New Roman"/>
          <w:sz w:val="28"/>
          <w:szCs w:val="28"/>
        </w:rPr>
        <w:t xml:space="preserve"> рублей и городского бюджета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1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218 143 497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рублей:</w:t>
      </w:r>
    </w:p>
    <w:p>
      <w:pPr>
        <w:pStyle w:val="ConsPlusNormal"/>
        <w:numPr>
          <w:ilvl w:val="0"/>
          <w:numId w:val="1"/>
        </w:numPr>
        <w:tabs>
          <w:tab w:val="clear" w:pos="225"/>
          <w:tab w:val="left" w:pos="1134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 1 «Развитие дошкольного, общего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в сумме 5 6</w:t>
      </w:r>
      <w:r>
        <w:rPr>
          <w:rFonts w:cs="Times New Roman" w:ascii="Times New Roman" w:hAnsi="Times New Roman"/>
          <w:sz w:val="28"/>
          <w:szCs w:val="28"/>
        </w:rPr>
        <w:t>59 671 675,51</w:t>
      </w:r>
      <w:r>
        <w:rPr>
          <w:rFonts w:cs="Times New Roman" w:ascii="Times New Roman" w:hAnsi="Times New Roman"/>
          <w:sz w:val="28"/>
          <w:szCs w:val="28"/>
        </w:rPr>
        <w:t xml:space="preserve"> рублей (в 2023 –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1 93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2 776 521,51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, 2024 - 1 873 353 574,00 рубля, 2025 -1 853 541 580,00 рублей). </w:t>
      </w:r>
    </w:p>
    <w:p>
      <w:pPr>
        <w:pStyle w:val="Normal"/>
        <w:tabs>
          <w:tab w:val="clear" w:pos="225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 подпрограмме 1 «Развитие дошкольного, общего                                                  и дополнительного образования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 xml:space="preserve">» </w:t>
      </w:r>
      <w:r>
        <w:rPr>
          <w:rFonts w:eastAsia="Calibri" w:cs="Times New Roman" w:ascii="Times New Roman" w:hAnsi="Times New Roman" w:eastAsiaTheme="minorHAnsi"/>
          <w:bCs/>
          <w:color w:val="auto"/>
          <w:kern w:val="2"/>
          <w:sz w:val="28"/>
          <w:szCs w:val="28"/>
          <w:lang w:val="ru-RU" w:eastAsia="en-US" w:bidi="ar-SA"/>
        </w:rPr>
        <w:t>уменьшено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 xml:space="preserve"> финансирование</w:t>
      </w:r>
      <w:r>
        <w:rPr>
          <w:rFonts w:cs="Times New Roman" w:ascii="Times New Roman" w:hAnsi="Times New Roman"/>
          <w:sz w:val="28"/>
          <w:szCs w:val="28"/>
        </w:rPr>
        <w:t xml:space="preserve"> в сумме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2 265 063,81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на следующие мероприятия: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 при пересчете субвенций в связи с сокращением численности воспитанников,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экономией средств по летнему отдыху,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напитка).</w:t>
      </w:r>
    </w:p>
    <w:p>
      <w:pPr>
        <w:pStyle w:val="ListParagraph"/>
        <w:numPr>
          <w:ilvl w:val="0"/>
          <w:numId w:val="3"/>
        </w:numPr>
        <w:tabs>
          <w:tab w:val="clear" w:pos="225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подпрограмму</w:t>
      </w:r>
      <w:r>
        <w:rPr/>
        <w:t xml:space="preserve">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kern w:val="2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» в сумме                  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 xml:space="preserve">244 </w:t>
      </w:r>
      <w:r>
        <w:rPr>
          <w:rFonts w:eastAsia="Calibri" w:cs="Times New Roman" w:ascii="Times New Roman" w:hAnsi="Times New Roman" w:eastAsiaTheme="minorHAnsi"/>
          <w:color w:val="auto"/>
          <w:kern w:val="2"/>
          <w:sz w:val="28"/>
          <w:szCs w:val="28"/>
          <w:lang w:val="ru-RU" w:eastAsia="en-US" w:bidi="ar-SA"/>
        </w:rPr>
        <w:t>879 330,36</w:t>
      </w:r>
      <w:r>
        <w:rPr>
          <w:rFonts w:cs="Times New Roman" w:ascii="Times New Roman" w:hAnsi="Times New Roman"/>
          <w:sz w:val="28"/>
          <w:szCs w:val="28"/>
        </w:rPr>
        <w:t xml:space="preserve"> рублей (2023 — 84 </w:t>
      </w:r>
      <w:r>
        <w:rPr>
          <w:rFonts w:cs="Times New Roman" w:ascii="Times New Roman" w:hAnsi="Times New Roman"/>
          <w:sz w:val="28"/>
          <w:szCs w:val="28"/>
        </w:rPr>
        <w:t>426 060,36</w:t>
      </w:r>
      <w:r>
        <w:rPr>
          <w:rFonts w:cs="Times New Roman" w:ascii="Times New Roman" w:hAnsi="Times New Roman"/>
          <w:sz w:val="28"/>
          <w:szCs w:val="28"/>
        </w:rPr>
        <w:t xml:space="preserve"> рублей, 2024 - 2025 по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80 226 635</w:t>
      </w:r>
      <w:r>
        <w:rPr>
          <w:rFonts w:cs="Times New Roman" w:ascii="Times New Roman" w:hAnsi="Times New Roman"/>
          <w:sz w:val="28"/>
          <w:szCs w:val="28"/>
        </w:rPr>
        <w:t>,00 рублей ежегодно).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Увеличить финансирование в 2023 году на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197 991,00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рубль в связи с выд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елением дополнительных средств для обеспечения заработной платы до уровня МРОТ по иным учреждениям в сфере образования, на обеспечение расходов по коммунальным услугам.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С целью увеличения эффективности реализации программы и своевременного и качественного исполнения полномочий в сфере образования внесены изменения в целевые показатели в приложение к Паспорту программы «Перечень целевых показателей муниципальной программы города Канска с указанием планируемых к достижению значений в результате реализации муниципальной программы города Канска» и показатели результативности в приложение 1 к подпрограмме 1.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Муниципальная программа предполагает реализацию мероприятий проекта муниципальной программы «Развитие образования»: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>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                  г. Канска рекомендует: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инспектор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Данилова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тел. 8(39161) 3-28-08</w:t>
      </w:r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1" w:header="1134" w:top="1670" w:footer="709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Sylfae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55575769"/>
    </w:sdtPr>
    <w:sdtContent>
      <w:p>
        <w:pPr>
          <w:pStyle w:val="Style25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  <w:p>
    <w:pPr>
      <w:pStyle w:val="Style25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5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szCs w:val="24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  <w:szCs w:val="24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225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Bodytext2">
    <w:name w:val="Body text (2)_"/>
    <w:basedOn w:val="DefaultParagraphFon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Bodytext2Bold">
    <w:name w:val="Body text (2) + Bold"/>
    <w:basedOn w:val="Bodytext2"/>
    <w:qFormat/>
    <w:rPr>
      <w:b/>
      <w:bCs/>
      <w:color w:val="000000"/>
      <w:spacing w:val="0"/>
      <w:w w:val="100"/>
      <w:lang w:val="ru-RU" w:eastAsia="ru-RU" w:bidi="ru-RU"/>
    </w:rPr>
  </w:style>
  <w:style w:type="character" w:styleId="Bodytext212pt">
    <w:name w:val="Body text (2) + 12 pt"/>
    <w:basedOn w:val="Bodytext2"/>
    <w:qFormat/>
    <w:rPr>
      <w:color w:val="000000"/>
      <w:spacing w:val="0"/>
      <w:w w:val="100"/>
      <w:sz w:val="24"/>
      <w:szCs w:val="24"/>
      <w:lang w:val="ru-RU" w:eastAsia="ru-RU" w:bidi="ru-RU"/>
    </w:rPr>
  </w:style>
  <w:style w:type="character" w:styleId="Bodytext3">
    <w:name w:val="Body text (3)_"/>
    <w:basedOn w:val="DefaultParagraphFont"/>
    <w:qFormat/>
    <w:rPr>
      <w:rFonts w:ascii="Sylfaen" w:hAnsi="Sylfaen" w:eastAsia="Sylfaen" w:cs="Sylfae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Bodytext3NotBold">
    <w:name w:val="Body text (3) + Not Bold"/>
    <w:basedOn w:val="Bodytext3"/>
    <w:qFormat/>
    <w:rPr>
      <w:b/>
      <w:bCs/>
      <w:color w:val="000000"/>
      <w:spacing w:val="0"/>
      <w:w w:val="100"/>
      <w:lang w:val="ru-RU" w:eastAsia="ru-RU" w:bidi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225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225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Bodytext21">
    <w:name w:val="Body text (2)"/>
    <w:basedOn w:val="Normal"/>
    <w:qFormat/>
    <w:pPr>
      <w:widowControl w:val="false"/>
      <w:shd w:val="clear" w:color="auto" w:fill="FFFFFF"/>
      <w:spacing w:lineRule="exact" w:line="301" w:before="240" w:after="0"/>
    </w:pPr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1">
    <w:name w:val="Основной текст1"/>
    <w:basedOn w:val="Normal"/>
    <w:qFormat/>
    <w:pPr>
      <w:shd w:val="clear" w:color="auto" w:fill="FFFFFF"/>
      <w:spacing w:lineRule="atLeast" w:line="240" w:before="360" w:after="300"/>
    </w:pPr>
    <w:rPr>
      <w:sz w:val="27"/>
      <w:szCs w:val="27"/>
      <w:lang w:val="x-none" w:eastAsia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glossaryDocument" Target="glossary/document.xml"/><Relationship Id="rId11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27"/>
    <w:rsid w:val="001B1D57"/>
    <w:rsid w:val="005B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D0347BAD3D4338BBE4ED22FB0BA7D2">
    <w:name w:val="2BD0347BAD3D4338BBE4ED22FB0BA7D2"/>
    <w:rsid w:val="005B7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6FFD-3E4C-4C91-9C82-3390C2E7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Application>LibreOffice/6.3.6.2$Windows_x86 LibreOffice_project/2196df99b074d8a661f4036fca8fa0cbfa33a497</Application>
  <Pages>5</Pages>
  <Words>1236</Words>
  <Characters>9412</Characters>
  <CharactersWithSpaces>10828</CharactersWithSpaces>
  <Paragraphs>67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2023-11-03T11:33:30Z</cp:lastPrinted>
  <dcterms:modified xsi:type="dcterms:W3CDTF">2023-12-12T13:41:37Z</dcterms:modified>
  <cp:revision>121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