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993" w:leader="none"/>
        </w:tabs>
        <w:spacing w:lineRule="auto" w:line="24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Заключение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«О внесении изменений             в постановление администрации города Канска от 12.12.2016 № 1365  «Об утверждении муниципальной программы города Канска </w:t>
      </w:r>
    </w:p>
    <w:p>
      <w:pPr>
        <w:pStyle w:val="Normal"/>
        <w:tabs>
          <w:tab w:val="left" w:pos="993" w:leader="none"/>
        </w:tabs>
        <w:spacing w:lineRule="auto" w:line="24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«Городское хозяйство»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</w:p>
    <w:p>
      <w:pPr>
        <w:pStyle w:val="Normal"/>
        <w:tabs>
          <w:tab w:val="left" w:pos="993" w:leader="none"/>
        </w:tabs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(проект внесен УС и ЖКХ администрации города Канска письмом      от 06.07.2023 № ИС-79) 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год. 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Цель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«Городское Хозяйство».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Предмет экспертизы: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  <w:u w:val="none"/>
        </w:rPr>
        <w:t>с «</w:t>
      </w:r>
      <w:r>
        <w:rPr>
          <w:rFonts w:eastAsia="Calibri" w:cs="Times New Roman" w:ascii="Times New Roman" w:hAnsi="Times New Roman"/>
          <w:color w:val="00000A"/>
          <w:sz w:val="28"/>
          <w:szCs w:val="28"/>
          <w:u w:val="none"/>
          <w:lang w:val="ru-RU" w:eastAsia="en-US" w:bidi="ar-SA"/>
        </w:rPr>
        <w:t>18</w:t>
      </w:r>
      <w:r>
        <w:rPr>
          <w:rFonts w:cs="Times New Roman" w:ascii="Times New Roman" w:hAnsi="Times New Roman"/>
          <w:sz w:val="28"/>
          <w:szCs w:val="28"/>
          <w:u w:val="none"/>
        </w:rPr>
        <w:t>» июля 2023 года                                         по «18» июля 2023 года.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реализации»; 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 (далее - Проект постановления, муниципальная программа), по результатам которой установлено следующее:</w:t>
      </w:r>
    </w:p>
    <w:p>
      <w:pPr>
        <w:pStyle w:val="ListParagraph"/>
        <w:widowControl/>
        <w:tabs>
          <w:tab w:val="left" w:pos="993" w:leader="none"/>
        </w:tabs>
        <w:bidi w:val="0"/>
        <w:spacing w:lineRule="auto" w:line="259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«О внесении изменений в постановление администрации города Канска от 12.12.2016 №1365 «Об утверждении муниципальной программы города Канска «Городское хозяйство»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  <w:u w:val="none"/>
        </w:rPr>
        <w:t>06</w:t>
      </w:r>
      <w:r>
        <w:rPr>
          <w:rFonts w:cs="Times New Roman" w:ascii="Times New Roman" w:hAnsi="Times New Roman"/>
          <w:sz w:val="28"/>
          <w:szCs w:val="28"/>
          <w:u w:val="none"/>
        </w:rPr>
        <w:t>.0</w:t>
      </w:r>
      <w:r>
        <w:rPr>
          <w:rFonts w:cs="Times New Roman" w:ascii="Times New Roman" w:hAnsi="Times New Roman"/>
          <w:sz w:val="28"/>
          <w:szCs w:val="28"/>
          <w:u w:val="none"/>
        </w:rPr>
        <w:t>7</w:t>
      </w:r>
      <w:r>
        <w:rPr>
          <w:rFonts w:cs="Times New Roman" w:ascii="Times New Roman" w:hAnsi="Times New Roman"/>
          <w:sz w:val="28"/>
          <w:szCs w:val="28"/>
          <w:u w:val="none"/>
        </w:rPr>
        <w:t>.2023 № ИС-</w:t>
      </w:r>
      <w:r>
        <w:rPr>
          <w:rFonts w:cs="Times New Roman" w:ascii="Times New Roman" w:hAnsi="Times New Roman"/>
          <w:sz w:val="28"/>
          <w:szCs w:val="28"/>
          <w:u w:val="none"/>
        </w:rPr>
        <w:t>79</w:t>
      </w:r>
      <w:r>
        <w:rPr>
          <w:rFonts w:cs="Times New Roman" w:ascii="Times New Roman" w:hAnsi="Times New Roman"/>
          <w:sz w:val="28"/>
          <w:szCs w:val="28"/>
          <w:u w:val="none"/>
        </w:rPr>
        <w:t>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Проект муниципальной программы содержит основные направления развития данной сферы, целью программы является, создание условий                   для обеспечения жизнедеятельности города Канска.</w:t>
      </w:r>
    </w:p>
    <w:p>
      <w:pPr>
        <w:pStyle w:val="Normal"/>
        <w:tabs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Приоритеты государственной политики в жилищно-коммунальной сфере определены в соответствии с Указом Президента РФ от 07.05.2012                     № 600 «О мерах по обеспечению граждан Российской Федерации доступным и комфортным жильем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              №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1662-р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(в ред. распоряжения Правительства РФ от 08.08.2009 № 1121-р).</w:t>
      </w:r>
    </w:p>
    <w:p>
      <w:pPr>
        <w:pStyle w:val="Normal"/>
        <w:tabs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Основными задачами для достижения целей являются: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>
      <w:pPr>
        <w:pStyle w:val="Normal"/>
        <w:tabs>
          <w:tab w:val="left" w:pos="736" w:leader="none"/>
          <w:tab w:val="left" w:pos="845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4. Обеспечение комфортных условий для проживания горожан.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highlight w:val="white"/>
          <w:u w:val="none"/>
        </w:rPr>
      </w:pPr>
      <w:r>
        <w:rPr>
          <w:rFonts w:ascii="Times New Roman" w:hAnsi="Times New Roman"/>
          <w:sz w:val="28"/>
          <w:szCs w:val="28"/>
          <w:highlight w:val="white"/>
          <w:u w:val="none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структуры и содержание муниципальной программы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Структура муниципальной программы города Канска «Городское хозяйство» предусматривает реализацию четырех подпрограмм и </w:t>
      </w:r>
      <w:r>
        <w:rPr>
          <w:rFonts w:eastAsia="Calibri" w:cs="Times New Roman" w:ascii="Times New Roman" w:hAnsi="Times New Roman"/>
          <w:color w:val="00000A"/>
          <w:sz w:val="28"/>
          <w:szCs w:val="28"/>
          <w:u w:val="none"/>
          <w:lang w:val="ru-RU" w:eastAsia="en-US" w:bidi="ar-SA"/>
        </w:rPr>
        <w:t>трех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 отдельных мероприятий: 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•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1-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«Развитие транспортной системы».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  <w:u w:val="none"/>
          <w:lang w:eastAsia="zh-CN"/>
        </w:rPr>
        <w:t>Цель:</w:t>
      </w:r>
      <w:r>
        <w:rPr>
          <w:rFonts w:ascii="Times New Roman" w:hAnsi="Times New Roman"/>
          <w:sz w:val="28"/>
          <w:szCs w:val="28"/>
          <w:u w:val="none"/>
        </w:rPr>
        <w:t xml:space="preserve">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 безопасности дорожного движения.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обеспечение сохранности, содержания, ремонт, модернизация и развитие сети автомобильных дорог города;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услугами общественного транспорта равной доступностью;</w:t>
      </w:r>
    </w:p>
    <w:p>
      <w:pPr>
        <w:pStyle w:val="Normal"/>
        <w:numPr>
          <w:ilvl w:val="0"/>
          <w:numId w:val="0"/>
        </w:numPr>
        <w:tabs>
          <w:tab w:val="left" w:pos="993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u w:val="none"/>
          <w:lang w:val="ru-RU" w:eastAsia="ru-RU" w:bidi="ar-SA"/>
        </w:rPr>
        <w:t>3. обеспечение дорожной безопасности.</w:t>
      </w:r>
    </w:p>
    <w:p>
      <w:pPr>
        <w:pStyle w:val="ListParagraph"/>
        <w:numPr>
          <w:ilvl w:val="0"/>
          <w:numId w:val="1"/>
        </w:numPr>
        <w:tabs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2 - </w:t>
      </w:r>
      <w:r>
        <w:rPr>
          <w:rFonts w:ascii="Times New Roman" w:hAnsi="Times New Roman"/>
          <w:sz w:val="28"/>
          <w:szCs w:val="28"/>
          <w:u w:val="none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населения города качественными жилищно-коммунальными услугами в условиях  энергосбережения и повышения энергетической эффективности.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Задачи: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развитие, модернизация и капитальный ремонт объектов коммунальной инфраструктуры, находящиеся в муниципальной собственности города Канска;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создание условий для безубыточной деятельности организаций коммунального комплекса;</w:t>
      </w:r>
    </w:p>
    <w:p>
      <w:pPr>
        <w:pStyle w:val="Normal"/>
        <w:tabs>
          <w:tab w:val="left" w:pos="335" w:leader="none"/>
          <w:tab w:val="left" w:pos="498" w:leader="none"/>
        </w:tabs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3. энергосбережение и повышение энергетической эффективности;</w:t>
      </w:r>
    </w:p>
    <w:p>
      <w:pPr>
        <w:pStyle w:val="Normal"/>
        <w:tabs>
          <w:tab w:val="left" w:pos="993" w:leader="none"/>
        </w:tabs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4. обеспечение населения города чистой питьевой водой.</w:t>
      </w:r>
    </w:p>
    <w:p>
      <w:pPr>
        <w:pStyle w:val="ListParagraph"/>
        <w:numPr>
          <w:ilvl w:val="0"/>
          <w:numId w:val="1"/>
        </w:numPr>
        <w:tabs>
          <w:tab w:val="left" w:pos="993" w:leader="none"/>
          <w:tab w:val="left" w:pos="1134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подпрограмма 3 - «Обращение с твердыми бытовыми отходами                              на территории города».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Задачи: сбор, обезвреживание и вывоз отходов, информационное обеспечение в области обращения с отходами.</w:t>
      </w:r>
    </w:p>
    <w:p>
      <w:pPr>
        <w:pStyle w:val="ListParagraph"/>
        <w:numPr>
          <w:ilvl w:val="0"/>
          <w:numId w:val="1"/>
        </w:numPr>
        <w:tabs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4 - «Благоустройство города». 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комфортных условий для проживания горожан.</w:t>
      </w:r>
    </w:p>
    <w:p>
      <w:pPr>
        <w:pStyle w:val="Normal"/>
        <w:tabs>
          <w:tab w:val="left" w:pos="567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Задачи:</w:t>
      </w:r>
    </w:p>
    <w:p>
      <w:pPr>
        <w:pStyle w:val="ConsPlusCell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обеспечение уличного освещения улично-дорожной сети города;</w:t>
      </w:r>
    </w:p>
    <w:p>
      <w:pPr>
        <w:pStyle w:val="ConsPlusCel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2. повышение уровня благоустроенности городской природной среды.</w:t>
      </w:r>
    </w:p>
    <w:p>
      <w:pPr>
        <w:pStyle w:val="ConsPlusCell"/>
        <w:tabs>
          <w:tab w:val="left" w:pos="993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tabs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1 -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».</w:t>
      </w:r>
    </w:p>
    <w:p>
      <w:pPr>
        <w:pStyle w:val="ListParagraph"/>
        <w:tabs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сокращение численности безнадзорных животных до экологически безопасного и социально-приемлемого уровня.</w:t>
      </w:r>
    </w:p>
    <w:p>
      <w:pPr>
        <w:pStyle w:val="ListParagraph"/>
        <w:numPr>
          <w:ilvl w:val="0"/>
          <w:numId w:val="1"/>
        </w:numPr>
        <w:tabs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2 -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». </w:t>
      </w:r>
    </w:p>
    <w:p>
      <w:pPr>
        <w:pStyle w:val="ListParagraph"/>
        <w:tabs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создание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бюджета.</w:t>
      </w:r>
    </w:p>
    <w:p>
      <w:pPr>
        <w:pStyle w:val="ListParagraph"/>
        <w:numPr>
          <w:ilvl w:val="0"/>
          <w:numId w:val="1"/>
        </w:numPr>
        <w:tabs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мероприятие 3 -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  <w:lang w:eastAsia="zh-CN"/>
        </w:rPr>
        <w:t>Мероприятия в области обеспечения капитального ремонта, реконструкции и строительства гидротехнических сооружений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».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разработка ПСД и строительство сооружений берегоукрепления   р. Кан для защиты жилой застройки и объектов народного хозяйства от затопления и разрушения.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</w:r>
    </w:p>
    <w:p>
      <w:pPr>
        <w:pStyle w:val="Style22"/>
        <w:tabs>
          <w:tab w:val="left" w:pos="993" w:leader="none"/>
        </w:tabs>
        <w:spacing w:before="0" w:after="0"/>
        <w:ind w:left="0" w:right="0" w:firstLine="709"/>
        <w:jc w:val="center"/>
        <w:rPr>
          <w:b/>
          <w:b/>
          <w:szCs w:val="28"/>
        </w:rPr>
      </w:pPr>
      <w:r>
        <w:rPr>
          <w:b/>
          <w:sz w:val="28"/>
          <w:szCs w:val="28"/>
          <w:u w:val="none"/>
        </w:rPr>
        <w:t>Анализ ресурсного обеспечения</w:t>
      </w:r>
    </w:p>
    <w:p>
      <w:pPr>
        <w:pStyle w:val="Style22"/>
        <w:tabs>
          <w:tab w:val="left" w:pos="993" w:leader="none"/>
        </w:tabs>
        <w:spacing w:before="0" w:after="0"/>
        <w:ind w:left="0" w:right="0" w:firstLine="709"/>
        <w:jc w:val="center"/>
        <w:rPr/>
      </w:pPr>
      <w:r>
        <w:rPr>
          <w:b/>
          <w:sz w:val="28"/>
          <w:szCs w:val="28"/>
          <w:u w:val="none"/>
        </w:rPr>
        <w:t>(анализ структуры управления и финансовые ресурсы)</w:t>
      </w:r>
    </w:p>
    <w:p>
      <w:pPr>
        <w:pStyle w:val="Style22"/>
        <w:tabs>
          <w:tab w:val="left" w:pos="993" w:leader="none"/>
        </w:tabs>
        <w:spacing w:before="0" w:after="0"/>
        <w:ind w:left="0" w:right="0" w:firstLine="709"/>
        <w:jc w:val="center"/>
        <w:rPr>
          <w:rFonts w:ascii="Times New Roman" w:hAnsi="Times New Roman"/>
          <w:b/>
          <w:b/>
          <w:sz w:val="28"/>
          <w:szCs w:val="28"/>
          <w:u w:val="none"/>
        </w:rPr>
      </w:pPr>
      <w:r>
        <w:rPr>
          <w:b/>
          <w:sz w:val="28"/>
          <w:szCs w:val="28"/>
          <w:u w:val="none"/>
        </w:rPr>
      </w:r>
    </w:p>
    <w:p>
      <w:pPr>
        <w:pStyle w:val="Style22"/>
        <w:ind w:firstLine="708"/>
        <w:rPr>
          <w:rFonts w:ascii="Times New Roman" w:hAnsi="Times New Roman"/>
          <w:sz w:val="28"/>
          <w:szCs w:val="28"/>
          <w:u w:val="none"/>
        </w:rPr>
      </w:pPr>
      <w:r>
        <w:rPr>
          <w:sz w:val="28"/>
          <w:szCs w:val="28"/>
          <w:u w:val="none"/>
        </w:rPr>
        <w:t>В предоставленном проекте муниципальной программы «Городское хозяйство» в новой редакции внесены следующие изменения.</w:t>
      </w:r>
    </w:p>
    <w:p>
      <w:pPr>
        <w:pStyle w:val="Style22"/>
        <w:ind w:firstLine="708"/>
        <w:rPr/>
      </w:pPr>
      <w:r>
        <w:rPr>
          <w:b w:val="false"/>
          <w:bCs w:val="false"/>
        </w:rPr>
        <w:t>Увеличение общего объема финансирования муниципальной программы «Городское хозяйство» на 781 257,00 рублей, в том числе :</w:t>
      </w:r>
    </w:p>
    <w:p>
      <w:pPr>
        <w:pStyle w:val="Style22"/>
        <w:ind w:firstLine="708"/>
        <w:rPr/>
      </w:pPr>
      <w:bookmarkStart w:id="0" w:name="_Hlk127264697"/>
      <w:bookmarkEnd w:id="0"/>
      <w:r>
        <w:rPr>
          <w:b w:val="false"/>
          <w:bCs w:val="false"/>
          <w:color w:val="000000"/>
          <w:sz w:val="28"/>
        </w:rPr>
        <w:t xml:space="preserve">- </w:t>
      </w:r>
      <w:bookmarkStart w:id="1" w:name="_Hlk98251191"/>
      <w:bookmarkEnd w:id="1"/>
      <w:r>
        <w:rPr>
          <w:b w:val="false"/>
          <w:bCs w:val="false"/>
          <w:color w:val="000000"/>
          <w:sz w:val="28"/>
        </w:rPr>
        <w:t>за счет средств краевого бюджета</w:t>
      </w: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color w:val="000000"/>
          <w:sz w:val="28"/>
        </w:rPr>
        <w:t>на 5 937,00 рублей;</w:t>
      </w:r>
    </w:p>
    <w:p>
      <w:pPr>
        <w:pStyle w:val="Style22"/>
        <w:spacing w:before="0" w:after="0"/>
        <w:ind w:left="0" w:right="0" w:firstLine="708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- за счет средств городского бюджета на 775 320,00 рублей.</w:t>
      </w:r>
    </w:p>
    <w:p>
      <w:pPr>
        <w:pStyle w:val="Style22"/>
        <w:ind w:firstLine="708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В ходе анализа ресурсного обеспечения установлено: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- структура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За 2023-2025 годы асс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игнований предусмотрено в сумме </w:t>
      </w:r>
      <w:r>
        <w:rPr>
          <w:rFonts w:eastAsia="Calibri" w:cs="Times New Roman" w:ascii="Times New Roman" w:hAnsi="Times New Roman"/>
          <w:b w:val="false"/>
          <w:bCs w:val="false"/>
          <w:color w:val="00000A"/>
          <w:sz w:val="28"/>
          <w:szCs w:val="28"/>
          <w:u w:val="none"/>
          <w:lang w:val="ru-RU" w:eastAsia="en-US" w:bidi="ar-SA"/>
        </w:rPr>
        <w:t>1 071 041 472,98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 рубля.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</w:r>
    </w:p>
    <w:p>
      <w:pPr>
        <w:pStyle w:val="Normal"/>
        <w:numPr>
          <w:ilvl w:val="0"/>
          <w:numId w:val="2"/>
        </w:numPr>
        <w:tabs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/>
          <w:sz w:val="28"/>
          <w:szCs w:val="28"/>
          <w:u w:val="none"/>
        </w:rPr>
        <w:t>под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программа 1 «Развитие транспортной системы».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Данная подпрограмма предусматривает средства городского, федерального и краевого бюджетов для развития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 в сумме 6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val="ru-RU" w:eastAsia="en-US" w:bidi="ar-SA"/>
        </w:rPr>
        <w:t>25 647 395,26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рублей </w:t>
      </w:r>
      <w:bookmarkStart w:id="2" w:name="_GoBack2"/>
      <w:bookmarkEnd w:id="2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(2023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val="ru-RU" w:eastAsia="en-US" w:bidi="ar-SA"/>
        </w:rPr>
        <w:t>345 294 297,26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рублей, 2024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val="ru-RU" w:eastAsia="en-US" w:bidi="ar-SA"/>
        </w:rPr>
        <w:t>139 776 549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,00 рублей, 2025 — 140 576 549,00 рублей). </w:t>
      </w:r>
    </w:p>
    <w:p>
      <w:pPr>
        <w:pStyle w:val="Style22"/>
        <w:ind w:firstLine="709"/>
        <w:rPr>
          <w:bCs/>
          <w:szCs w:val="28"/>
        </w:rPr>
      </w:pPr>
      <w:r>
        <w:rPr>
          <w:bCs/>
          <w:szCs w:val="28"/>
        </w:rPr>
      </w:r>
    </w:p>
    <w:p>
      <w:pPr>
        <w:pStyle w:val="Style22"/>
        <w:ind w:firstLine="709"/>
        <w:rPr/>
      </w:pPr>
      <w:bookmarkStart w:id="3" w:name="_Hlk107571328"/>
      <w:bookmarkEnd w:id="3"/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 xml:space="preserve">Изменение расходов по подпрограмме 1 </w:t>
      </w:r>
      <w:r>
        <w:rPr>
          <w:rFonts w:cs="Times New Roman"/>
          <w:b/>
          <w:bCs/>
          <w:color w:val="000000"/>
          <w:sz w:val="28"/>
          <w:szCs w:val="28"/>
          <w:u w:val="none"/>
        </w:rPr>
        <w:t>«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Развитие транспортной системы» не произошло</w:t>
      </w:r>
      <w:bookmarkStart w:id="4" w:name="_Hlk128383138"/>
      <w:bookmarkEnd w:id="4"/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.</w:t>
      </w:r>
    </w:p>
    <w:p>
      <w:pPr>
        <w:pStyle w:val="Style22"/>
        <w:spacing w:before="0" w:after="0"/>
        <w:ind w:left="0" w:right="0" w:hanging="0"/>
        <w:jc w:val="both"/>
        <w:rPr/>
      </w:pPr>
      <w:r>
        <w:rPr>
          <w:color w:val="000000"/>
        </w:rPr>
        <w:t xml:space="preserve">      </w:t>
      </w:r>
    </w:p>
    <w:p>
      <w:pPr>
        <w:pStyle w:val="Style22"/>
        <w:spacing w:before="0" w:after="0"/>
        <w:ind w:left="0" w:right="0" w:hanging="0"/>
        <w:jc w:val="both"/>
        <w:rPr/>
      </w:pPr>
      <w:r>
        <w:rPr>
          <w:color w:val="000000"/>
        </w:rPr>
        <w:t xml:space="preserve"> </w:t>
      </w:r>
      <w:r>
        <w:rPr>
          <w:color w:val="000000"/>
          <w:sz w:val="28"/>
          <w:u w:val="single"/>
        </w:rPr>
        <w:t>Увеличение</w:t>
      </w:r>
      <w:r>
        <w:rPr>
          <w:color w:val="000000"/>
          <w:u w:val="single"/>
        </w:rPr>
        <w:t xml:space="preserve"> </w:t>
      </w:r>
      <w:r>
        <w:rPr>
          <w:color w:val="000000"/>
          <w:sz w:val="28"/>
          <w:u w:val="single"/>
        </w:rPr>
        <w:t>по мероприятиям</w:t>
      </w:r>
      <w:r>
        <w:rPr>
          <w:color w:val="000000"/>
        </w:rPr>
        <w:t xml:space="preserve"> </w:t>
      </w:r>
      <w:r>
        <w:rPr>
          <w:color w:val="000000"/>
          <w:sz w:val="28"/>
        </w:rPr>
        <w:t>«Обустройство участков улично-дорожной сети вблизи образовательных организаций для обеспечения безопасности дорожного движения за</w:t>
      </w:r>
      <w:r>
        <w:rPr>
          <w:color w:val="000000"/>
        </w:rPr>
        <w:t xml:space="preserve"> </w:t>
      </w:r>
      <w:r>
        <w:rPr>
          <w:color w:val="000000"/>
          <w:sz w:val="28"/>
        </w:rPr>
        <w:t>счет средств муниципального дорожного фонда города Канска» - 30,00 рублей; «Содержание автомобильных дорог общего пользования местного значения и искусственных сооружений на них за счет средств муниципального дорожного фонда города Канска» - 149 999,87 рублей.</w:t>
      </w:r>
    </w:p>
    <w:p>
      <w:pPr>
        <w:pStyle w:val="Style22"/>
        <w:spacing w:before="0" w:after="0"/>
        <w:ind w:left="0" w:right="0" w:hanging="0"/>
        <w:jc w:val="both"/>
        <w:rPr/>
      </w:pPr>
      <w:r>
        <w:rPr>
          <w:color w:val="000000"/>
        </w:rPr>
        <w:t xml:space="preserve"> </w:t>
      </w:r>
      <w:r>
        <w:rPr>
          <w:color w:val="000000"/>
          <w:sz w:val="28"/>
          <w:u w:val="single"/>
        </w:rPr>
        <w:t>Уменьшение по мероприятиям</w:t>
      </w:r>
      <w:r>
        <w:rPr>
          <w:color w:val="000000"/>
        </w:rPr>
        <w:t xml:space="preserve"> </w:t>
      </w:r>
      <w:r>
        <w:rPr>
          <w:color w:val="000000"/>
          <w:sz w:val="28"/>
        </w:rPr>
        <w:t>«Выполнение работ по перекрытию проезжей части» - 30,00 рублей; «Установка и замена информационных указателей на автобусных павильонах» - 50 000,00 рублей; «Организация мест остановок общественного пассажирского транспорта» - 99 999,87 рублей.</w:t>
      </w:r>
    </w:p>
    <w:p>
      <w:pPr>
        <w:pStyle w:val="Normal"/>
        <w:numPr>
          <w:ilvl w:val="0"/>
          <w:numId w:val="1"/>
        </w:numPr>
        <w:tabs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по</w:t>
      </w:r>
      <w:r>
        <w:rPr>
          <w:rFonts w:cs="Times New Roman" w:ascii="Times New Roman" w:hAnsi="Times New Roman"/>
          <w:sz w:val="28"/>
          <w:szCs w:val="28"/>
        </w:rPr>
        <w:t xml:space="preserve">дпрограмма 2 - </w:t>
      </w:r>
      <w:r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val="ru-RU" w:eastAsia="en-US" w:bidi="ar-SA"/>
        </w:rPr>
        <w:t>обеспечения населения города качественными жилищно-коммунальными услугами в условиях энергосбережения и повышения энергетической эффективности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val="ru-RU" w:eastAsia="en-US" w:bidi="ar-SA"/>
        </w:rPr>
        <w:t>137 969 289,20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 </w:t>
      </w:r>
      <w:bookmarkStart w:id="5" w:name="_GoBack12"/>
      <w:bookmarkEnd w:id="5"/>
      <w:r>
        <w:rPr>
          <w:rFonts w:cs="Times New Roman" w:ascii="Times New Roman" w:hAnsi="Times New Roman"/>
          <w:color w:val="000000"/>
          <w:sz w:val="28"/>
          <w:szCs w:val="28"/>
        </w:rPr>
        <w:t xml:space="preserve">(2023 -                       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val="ru-RU" w:eastAsia="en-US" w:bidi="ar-SA"/>
        </w:rPr>
        <w:t>54 516 089,20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2024 и 2025 года по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val="ru-RU" w:eastAsia="en-US" w:bidi="ar-SA"/>
        </w:rPr>
        <w:t>41 726 600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 соответственно).  Изменений по данной подпрограмме не произошло.</w:t>
      </w:r>
    </w:p>
    <w:p>
      <w:pPr>
        <w:pStyle w:val="ListParagraph"/>
        <w:numPr>
          <w:ilvl w:val="0"/>
          <w:numId w:val="1"/>
        </w:numPr>
        <w:tabs>
          <w:tab w:val="left" w:pos="993" w:leader="none"/>
          <w:tab w:val="left" w:pos="1134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подпрограмма 3 - «Обращение с твердыми бытовыми отходами на территории города». Данная подпрограмма не предусмотрена на 2023-2025 года.</w:t>
      </w:r>
    </w:p>
    <w:p>
      <w:pPr>
        <w:pStyle w:val="ListParagraph"/>
        <w:numPr>
          <w:ilvl w:val="0"/>
          <w:numId w:val="1"/>
        </w:numPr>
        <w:tabs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4 - «Благоустройство города». 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Данная подпрограм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ма предусматривает средства городского, федерального и краевого бюджетов для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>обеспечения комфортных условий для проживания граждан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 xml:space="preserve">183 151 856,56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рублей (2023 —                    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>78 118 896,56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рублей, 2024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>51 817 380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,00 рублей, 2025 — 53 215 580,00 рублей).</w:t>
      </w:r>
    </w:p>
    <w:p>
      <w:pPr>
        <w:pStyle w:val="Style22"/>
        <w:tabs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 xml:space="preserve">По подпрограмме 4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«Благоустройство города»</w:t>
      </w:r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/>
          <w:b w:val="false"/>
          <w:bCs/>
          <w:color w:val="000000"/>
          <w:sz w:val="28"/>
          <w:szCs w:val="28"/>
        </w:rPr>
        <w:t xml:space="preserve">уменьшение на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166 000,00 рублей</w:t>
      </w:r>
      <w:bookmarkStart w:id="6" w:name="_Hlk98245566"/>
      <w:bookmarkStart w:id="7" w:name="_Hlk97279056"/>
      <w:bookmarkEnd w:id="6"/>
      <w:bookmarkEnd w:id="7"/>
      <w:r>
        <w:rPr>
          <w:rFonts w:cs="Times New Roman"/>
          <w:b w:val="false"/>
          <w:bCs/>
          <w:color w:val="000000"/>
          <w:sz w:val="28"/>
          <w:szCs w:val="28"/>
        </w:rPr>
        <w:t>, в том числе:</w:t>
      </w:r>
    </w:p>
    <w:p>
      <w:pPr>
        <w:pStyle w:val="Style22"/>
        <w:spacing w:before="0" w:after="0"/>
        <w:ind w:left="0" w:righ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- за счет средств городского бюджета на 166 000,00 рублей.</w:t>
      </w:r>
    </w:p>
    <w:p>
      <w:pPr>
        <w:pStyle w:val="Style22"/>
        <w:spacing w:before="0" w:after="0"/>
        <w:ind w:left="0" w:right="0" w:firstLine="567"/>
        <w:jc w:val="both"/>
        <w:rPr/>
      </w:pPr>
      <w:r>
        <w:rPr>
          <w:color w:val="000000"/>
          <w:sz w:val="28"/>
          <w:u w:val="single"/>
        </w:rPr>
        <w:t>Увеличение по мероприятиям</w:t>
      </w:r>
      <w:r>
        <w:rPr>
          <w:color w:val="000000"/>
        </w:rPr>
        <w:t> </w:t>
      </w:r>
      <w:r>
        <w:rPr>
          <w:color w:val="000000"/>
          <w:sz w:val="28"/>
        </w:rPr>
        <w:t>«Благоустройство общественных территорий» - 300 000,00 рублей; «Мероприятие по организации ритуальных услуг, санитарное и эстетическое содержание кладбищ» - 600 000,00 рублей; «Скашивание травы и дикорастущих растений» - 600 000,00 рублей; «Выполнение прочих обязательств» - 600 000,00 рублей.</w:t>
      </w:r>
    </w:p>
    <w:p>
      <w:pPr>
        <w:pStyle w:val="Style22"/>
        <w:spacing w:before="0" w:after="0"/>
        <w:ind w:left="0" w:right="0" w:firstLine="709"/>
        <w:jc w:val="both"/>
        <w:rPr/>
      </w:pPr>
      <w:bookmarkStart w:id="8" w:name="_Hlk97282667"/>
      <w:bookmarkEnd w:id="8"/>
      <w:r>
        <w:rPr>
          <w:color w:val="000000"/>
          <w:sz w:val="28"/>
          <w:u w:val="single"/>
        </w:rPr>
        <w:t>Уменьшение по мероприятиям</w:t>
      </w:r>
      <w:r>
        <w:rPr>
          <w:color w:val="000000"/>
        </w:rPr>
        <w:t xml:space="preserve"> </w:t>
      </w:r>
      <w:r>
        <w:rPr>
          <w:color w:val="000000"/>
          <w:sz w:val="28"/>
        </w:rPr>
        <w:t xml:space="preserve">«Вынос наружных инженерных сетей водоснабжения, водоотведения, теплоснабжения, электроснабжения с территории объектов строительства и благоустройства» - 300 000,00 рублей; «Инициативный проект» - 1 000 000,00 рулей.; «Проектная документация» - 113 679,12 рублей; «Техническое обследование жилого фонда» - 90 000,00 рублей; «Содержание контейнерных площадок и контейнерного оборудования» - 16 000,00 рублей; </w:t>
      </w:r>
      <w:bookmarkStart w:id="9" w:name="_Hlk139535739"/>
      <w:bookmarkEnd w:id="9"/>
      <w:r>
        <w:rPr>
          <w:color w:val="000000"/>
          <w:sz w:val="28"/>
        </w:rPr>
        <w:t>«Обустройство контейнерных площадок» - 600 000,00 рублей; «Расходы муниципального жилого фонда» - 146 320,88 рублей.</w:t>
      </w:r>
    </w:p>
    <w:p>
      <w:pPr>
        <w:pStyle w:val="ListParagraph"/>
        <w:tabs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Отдельные мероприятия:</w:t>
      </w:r>
    </w:p>
    <w:p>
      <w:pPr>
        <w:pStyle w:val="ListParagraph"/>
        <w:tabs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Мероприятие 1 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lang w:eastAsia="zh-CN"/>
        </w:rPr>
        <w:t xml:space="preserve">». Общий объем средств на 2023-2025 годы составляет 7 181 737,00 рублей (2023 - 2 452 737,00 рублей, 2024-2025 по           2 364 500,00 рублей). </w:t>
      </w:r>
    </w:p>
    <w:p>
      <w:pPr>
        <w:pStyle w:val="Style22"/>
        <w:tabs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  <w:lang w:eastAsia="zh-CN"/>
        </w:rPr>
        <w:t xml:space="preserve">Увеличение расходов по отдельному мероприятию 1 </w:t>
      </w:r>
      <w:r>
        <w:rPr>
          <w:rFonts w:cs="Times New Roman"/>
          <w:b w:val="false"/>
          <w:bCs w:val="false"/>
          <w:color w:val="000000"/>
          <w:sz w:val="28"/>
          <w:szCs w:val="28"/>
          <w:lang w:eastAsia="zh-CN"/>
        </w:rPr>
        <w:t>«Выполнение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Красноярского края» на 5 937,00 рублей</w:t>
      </w:r>
      <w:r>
        <w:rPr>
          <w:rFonts w:cs="Times New Roman"/>
          <w:b w:val="false"/>
          <w:bCs/>
          <w:color w:val="000000"/>
          <w:sz w:val="28"/>
          <w:szCs w:val="28"/>
          <w:lang w:eastAsia="zh-CN"/>
        </w:rPr>
        <w:t>, в том числе:</w:t>
      </w:r>
    </w:p>
    <w:p>
      <w:pPr>
        <w:pStyle w:val="Style22"/>
        <w:spacing w:before="0" w:after="0"/>
        <w:ind w:left="0" w:righ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- за счет средств краевого бюджета на 5 937,00 рублей.</w:t>
      </w:r>
    </w:p>
    <w:p>
      <w:pPr>
        <w:pStyle w:val="ListParagraph"/>
        <w:tabs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8"/>
          <w:szCs w:val="28"/>
          <w:lang w:eastAsia="zh-CN"/>
        </w:rPr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lang w:eastAsia="zh-CN"/>
        </w:rPr>
      </w:r>
    </w:p>
    <w:p>
      <w:pPr>
        <w:pStyle w:val="Style22"/>
        <w:ind w:right="-143" w:firstLine="709"/>
        <w:rPr/>
      </w:pPr>
      <w:bookmarkStart w:id="10" w:name="__DdeLink__727_1047139294"/>
      <w:bookmarkStart w:id="11" w:name="_Hlk972826671"/>
      <w:bookmarkEnd w:id="11"/>
      <w:r>
        <w:rPr>
          <w:rFonts w:cs="Times New Roman"/>
          <w:b w:val="false"/>
          <w:bCs w:val="false"/>
          <w:sz w:val="28"/>
          <w:szCs w:val="28"/>
        </w:rPr>
        <w:t>Мероприятие</w:t>
      </w:r>
      <w:bookmarkEnd w:id="10"/>
      <w:r>
        <w:rPr>
          <w:rFonts w:cs="Times New Roman"/>
          <w:b w:val="false"/>
          <w:bCs w:val="false"/>
          <w:sz w:val="28"/>
          <w:szCs w:val="28"/>
        </w:rPr>
        <w:t xml:space="preserve"> 2 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>«</w:t>
      </w:r>
      <w:r>
        <w:rPr>
          <w:rFonts w:cs="Times New Roman"/>
          <w:b w:val="false"/>
          <w:bCs w:val="false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 xml:space="preserve">». </w:t>
      </w:r>
      <w:r>
        <w:rPr>
          <w:rFonts w:cs="Times New Roman"/>
          <w:b w:val="false"/>
          <w:bCs/>
          <w:color w:val="000000"/>
          <w:sz w:val="28"/>
          <w:szCs w:val="28"/>
          <w:lang w:eastAsia="zh-CN"/>
        </w:rPr>
        <w:t xml:space="preserve">Общий объем средств на 2023-2025 годы составляет                 117 091 194,96 рубля (2023- 40 385 074,96 рубля, 2024-2025 по 38 353 060,00 рублей). </w:t>
      </w:r>
      <w:r>
        <w:rPr>
          <w:b w:val="false"/>
          <w:bCs w:val="false"/>
          <w:szCs w:val="28"/>
        </w:rPr>
        <w:t xml:space="preserve">Увеличение расходов </w:t>
      </w:r>
      <w:bookmarkStart w:id="12" w:name="_Hlk127264854"/>
      <w:r>
        <w:rPr>
          <w:bCs/>
          <w:szCs w:val="28"/>
        </w:rPr>
        <w:t xml:space="preserve"> </w:t>
      </w:r>
      <w:bookmarkEnd w:id="12"/>
      <w:r>
        <w:rPr>
          <w:b w:val="false"/>
          <w:bCs/>
          <w:szCs w:val="28"/>
        </w:rPr>
        <w:t xml:space="preserve">за счет средств городского бюджета на            382 835,96 </w:t>
      </w:r>
      <w:r>
        <w:rPr>
          <w:bCs/>
          <w:szCs w:val="28"/>
        </w:rPr>
        <w:t>рублей</w:t>
      </w:r>
      <w:r>
        <w:rPr>
          <w:b w:val="false"/>
          <w:bCs/>
          <w:szCs w:val="28"/>
        </w:rPr>
        <w:t>.</w:t>
      </w:r>
    </w:p>
    <w:p>
      <w:pPr>
        <w:pStyle w:val="Style22"/>
        <w:ind w:right="-143" w:firstLine="709"/>
        <w:rPr/>
      </w:pPr>
      <w:bookmarkStart w:id="13" w:name="_Hlk972826672"/>
      <w:bookmarkEnd w:id="13"/>
      <w:r>
        <w:rPr>
          <w:b w:val="false"/>
          <w:bCs/>
          <w:color w:val="000000"/>
          <w:sz w:val="28"/>
          <w:szCs w:val="28"/>
        </w:rPr>
        <w:t xml:space="preserve">Увеличение расходов по отдельному мероприятию 2 </w:t>
      </w:r>
      <w:r>
        <w:rPr>
          <w:b w:val="false"/>
          <w:bCs w:val="false"/>
          <w:color w:val="000000"/>
          <w:sz w:val="28"/>
          <w:szCs w:val="28"/>
        </w:rPr>
        <w:t>«Обеспечение системы управления муниципальной программой»</w:t>
      </w:r>
      <w:bookmarkStart w:id="14" w:name="_Hlk1272648541"/>
      <w:bookmarkEnd w:id="14"/>
      <w:r>
        <w:rPr>
          <w:b w:val="false"/>
          <w:bCs w:val="false"/>
          <w:color w:val="000000"/>
          <w:szCs w:val="28"/>
        </w:rPr>
        <w:t xml:space="preserve"> </w:t>
      </w:r>
      <w:r>
        <w:rPr>
          <w:b w:val="false"/>
          <w:bCs w:val="false"/>
          <w:color w:val="000000"/>
          <w:sz w:val="28"/>
          <w:szCs w:val="28"/>
        </w:rPr>
        <w:t>на 941 320,00</w:t>
      </w:r>
      <w:r>
        <w:rPr>
          <w:b w:val="false"/>
          <w:bCs w:val="false"/>
          <w:color w:val="000000"/>
          <w:szCs w:val="28"/>
        </w:rPr>
        <w:t xml:space="preserve"> </w:t>
      </w:r>
      <w:r>
        <w:rPr>
          <w:b w:val="false"/>
          <w:bCs/>
          <w:color w:val="000000"/>
          <w:sz w:val="28"/>
          <w:szCs w:val="28"/>
        </w:rPr>
        <w:t>рублей, в том числе:</w:t>
      </w:r>
    </w:p>
    <w:p>
      <w:pPr>
        <w:pStyle w:val="Style22"/>
        <w:spacing w:before="0" w:after="0"/>
        <w:ind w:left="0" w:righ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- за счет средств городского бюджета на 941 320,00 рублей.</w:t>
      </w:r>
    </w:p>
    <w:p>
      <w:pPr>
        <w:pStyle w:val="Style22"/>
        <w:ind w:right="-143" w:firstLine="709"/>
        <w:rPr>
          <w:b w:val="false"/>
          <w:b w:val="false"/>
          <w:bCs/>
          <w:szCs w:val="28"/>
        </w:rPr>
      </w:pPr>
      <w:r>
        <w:rPr>
          <w:b w:val="false"/>
          <w:bCs/>
          <w:szCs w:val="28"/>
        </w:rPr>
      </w:r>
    </w:p>
    <w:p>
      <w:pPr>
        <w:pStyle w:val="Style22"/>
        <w:tabs>
          <w:tab w:val="left" w:pos="993" w:leader="none"/>
        </w:tabs>
        <w:spacing w:lineRule="auto" w:line="240" w:before="0"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Мероприятие 3 «Мероприятия в области обеспечения капитального ремонта, реконструкции и строительства гидротехнических сооружений» не предусмотрено.</w:t>
      </w:r>
    </w:p>
    <w:p>
      <w:pPr>
        <w:pStyle w:val="Style22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i/>
          <w:i/>
          <w:iCs/>
          <w:sz w:val="27"/>
          <w:szCs w:val="27"/>
        </w:rPr>
      </w:pPr>
      <w:r>
        <w:rPr>
          <w:rFonts w:cs="Times New Roman"/>
          <w:b w:val="false"/>
          <w:bCs w:val="false"/>
          <w:i w:val="false"/>
          <w:iCs w:val="false"/>
          <w:sz w:val="28"/>
          <w:szCs w:val="28"/>
        </w:rPr>
        <w:t>По причине изменения бюджетных ассигнований внесены изменения в целевые показатели муниципальной программы с указанием планируемых к достижению значений в результате реализации муниципальной программы и показатели результативности.</w:t>
      </w:r>
    </w:p>
    <w:p>
      <w:pPr>
        <w:pStyle w:val="Normal"/>
        <w:tabs>
          <w:tab w:val="left" w:pos="993" w:leader="none"/>
        </w:tabs>
        <w:spacing w:lineRule="auto" w:line="240" w:before="228" w:after="228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целям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«Городское хозяйство».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«Городское хозяйство».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/>
      </w:pPr>
      <w:r>
        <w:rPr/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both"/>
        <w:rPr/>
      </w:pPr>
      <w:r>
        <w:rPr/>
      </w:r>
    </w:p>
    <w:sectPr>
      <w:headerReference w:type="default" r:id="rId2"/>
      <w:footerReference w:type="default" r:id="rId3"/>
      <w:footerReference w:type="first" r:id="rId4"/>
      <w:type w:val="nextPage"/>
      <w:pgSz w:w="11906" w:h="16838"/>
      <w:pgMar w:left="1701" w:right="850" w:header="1134" w:top="1670" w:footer="709" w:bottom="1134" w:gutter="0"/>
      <w:pgNumType w:start="1"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Style28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tabs>
        <w:tab w:val="left" w:pos="4515" w:leader="none"/>
        <w:tab w:val="center" w:pos="4677" w:leader="none"/>
        <w:tab w:val="right" w:pos="9355" w:leader="none"/>
      </w:tabs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ab/>
      <w:tab/>
    </w:r>
  </w:p>
  <w:p>
    <w:pPr>
      <w:pStyle w:val="Style28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7"/>
        <w:b w:val="false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false"/>
        <w:bCs w:val="false"/>
        <w:rFonts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 w:val="false"/>
        <w:bCs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00000A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7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Style19">
    <w:name w:val="Маркеры списка"/>
    <w:qFormat/>
    <w:rPr>
      <w:rFonts w:ascii="OpenSymbol" w:hAnsi="OpenSymbol" w:eastAsia="OpenSymbol" w:cs="OpenSymbol"/>
      <w:b w:val="false"/>
      <w:bCs w:val="false"/>
    </w:rPr>
  </w:style>
  <w:style w:type="character" w:styleId="ListLabel1">
    <w:name w:val="ListLabel 1"/>
    <w:qFormat/>
    <w:rPr>
      <w:rFonts w:ascii="Times New Roman" w:hAnsi="Times New Roman" w:cs="Symbol"/>
      <w:b w:val="false"/>
      <w:sz w:val="27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OpenSymbol"/>
      <w:b w:val="false"/>
      <w:bCs w:val="false"/>
    </w:rPr>
  </w:style>
  <w:style w:type="character" w:styleId="ListLabel11">
    <w:name w:val="ListLabel 11"/>
    <w:qFormat/>
    <w:rPr>
      <w:rFonts w:cs="OpenSymbol"/>
      <w:b w:val="false"/>
      <w:bCs w:val="false"/>
    </w:rPr>
  </w:style>
  <w:style w:type="character" w:styleId="ListLabel12">
    <w:name w:val="ListLabel 12"/>
    <w:qFormat/>
    <w:rPr>
      <w:rFonts w:cs="OpenSymbol"/>
      <w:b w:val="false"/>
      <w:bCs w:val="false"/>
    </w:rPr>
  </w:style>
  <w:style w:type="character" w:styleId="ListLabel13">
    <w:name w:val="ListLabel 13"/>
    <w:qFormat/>
    <w:rPr>
      <w:rFonts w:cs="OpenSymbol"/>
      <w:b w:val="false"/>
      <w:bCs w:val="false"/>
    </w:rPr>
  </w:style>
  <w:style w:type="character" w:styleId="ListLabel14">
    <w:name w:val="ListLabel 14"/>
    <w:qFormat/>
    <w:rPr>
      <w:rFonts w:cs="OpenSymbol"/>
      <w:b w:val="false"/>
      <w:bCs w:val="false"/>
    </w:rPr>
  </w:style>
  <w:style w:type="character" w:styleId="ListLabel15">
    <w:name w:val="ListLabel 15"/>
    <w:qFormat/>
    <w:rPr>
      <w:rFonts w:cs="OpenSymbol"/>
      <w:b w:val="false"/>
      <w:bCs w:val="false"/>
    </w:rPr>
  </w:style>
  <w:style w:type="character" w:styleId="ListLabel16">
    <w:name w:val="ListLabel 16"/>
    <w:qFormat/>
    <w:rPr>
      <w:rFonts w:cs="OpenSymbol"/>
      <w:b w:val="false"/>
      <w:bCs w:val="false"/>
    </w:rPr>
  </w:style>
  <w:style w:type="character" w:styleId="ListLabel17">
    <w:name w:val="ListLabel 17"/>
    <w:qFormat/>
    <w:rPr>
      <w:rFonts w:cs="OpenSymbol"/>
      <w:b w:val="false"/>
      <w:bCs w:val="false"/>
    </w:rPr>
  </w:style>
  <w:style w:type="character" w:styleId="ListLabel18">
    <w:name w:val="ListLabel 18"/>
    <w:qFormat/>
    <w:rPr>
      <w:rFonts w:cs="OpenSymbol"/>
      <w:b w:val="false"/>
      <w:bCs w:val="false"/>
    </w:rPr>
  </w:style>
  <w:style w:type="character" w:styleId="ListLabel19">
    <w:name w:val="ListLabel 19"/>
    <w:qFormat/>
    <w:rPr>
      <w:rFonts w:ascii="Times New Roman" w:hAnsi="Times New Roman" w:cs="Symbol"/>
      <w:b w:val="false"/>
      <w:sz w:val="27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OpenSymbol"/>
      <w:b w:val="false"/>
      <w:bCs w:val="false"/>
    </w:rPr>
  </w:style>
  <w:style w:type="character" w:styleId="ListLabel29">
    <w:name w:val="ListLabel 29"/>
    <w:qFormat/>
    <w:rPr>
      <w:rFonts w:cs="OpenSymbol"/>
      <w:b w:val="false"/>
      <w:bCs w:val="false"/>
    </w:rPr>
  </w:style>
  <w:style w:type="character" w:styleId="ListLabel30">
    <w:name w:val="ListLabel 30"/>
    <w:qFormat/>
    <w:rPr>
      <w:rFonts w:cs="OpenSymbol"/>
      <w:b w:val="false"/>
      <w:bCs w:val="false"/>
    </w:rPr>
  </w:style>
  <w:style w:type="character" w:styleId="ListLabel31">
    <w:name w:val="ListLabel 31"/>
    <w:qFormat/>
    <w:rPr>
      <w:rFonts w:cs="OpenSymbol"/>
      <w:b w:val="false"/>
      <w:bCs w:val="false"/>
    </w:rPr>
  </w:style>
  <w:style w:type="character" w:styleId="ListLabel32">
    <w:name w:val="ListLabel 32"/>
    <w:qFormat/>
    <w:rPr>
      <w:rFonts w:cs="OpenSymbol"/>
      <w:b w:val="false"/>
      <w:bCs w:val="false"/>
    </w:rPr>
  </w:style>
  <w:style w:type="character" w:styleId="ListLabel33">
    <w:name w:val="ListLabel 33"/>
    <w:qFormat/>
    <w:rPr>
      <w:rFonts w:cs="OpenSymbol"/>
      <w:b w:val="false"/>
      <w:bCs w:val="false"/>
    </w:rPr>
  </w:style>
  <w:style w:type="character" w:styleId="ListLabel34">
    <w:name w:val="ListLabel 34"/>
    <w:qFormat/>
    <w:rPr>
      <w:rFonts w:cs="OpenSymbol"/>
      <w:b w:val="false"/>
      <w:bCs w:val="false"/>
    </w:rPr>
  </w:style>
  <w:style w:type="character" w:styleId="ListLabel35">
    <w:name w:val="ListLabel 35"/>
    <w:qFormat/>
    <w:rPr>
      <w:rFonts w:cs="OpenSymbol"/>
      <w:b w:val="false"/>
      <w:bCs w:val="false"/>
    </w:rPr>
  </w:style>
  <w:style w:type="character" w:styleId="ListLabel36">
    <w:name w:val="ListLabel 36"/>
    <w:qFormat/>
    <w:rPr>
      <w:rFonts w:cs="OpenSymbol"/>
      <w:b w:val="false"/>
      <w:bCs w:val="false"/>
    </w:rPr>
  </w:style>
  <w:style w:type="character" w:styleId="ListLabel37">
    <w:name w:val="ListLabel 37"/>
    <w:qFormat/>
    <w:rPr>
      <w:rFonts w:ascii="Times New Roman" w:hAnsi="Times New Roman" w:cs="Symbol"/>
      <w:b w:val="false"/>
      <w:sz w:val="27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OpenSymbol"/>
      <w:b w:val="false"/>
      <w:bCs w:val="false"/>
    </w:rPr>
  </w:style>
  <w:style w:type="character" w:styleId="ListLabel47">
    <w:name w:val="ListLabel 47"/>
    <w:qFormat/>
    <w:rPr>
      <w:rFonts w:cs="OpenSymbol"/>
      <w:b w:val="false"/>
      <w:bCs w:val="false"/>
    </w:rPr>
  </w:style>
  <w:style w:type="character" w:styleId="ListLabel48">
    <w:name w:val="ListLabel 48"/>
    <w:qFormat/>
    <w:rPr>
      <w:rFonts w:cs="OpenSymbol"/>
      <w:b w:val="false"/>
      <w:bCs w:val="false"/>
    </w:rPr>
  </w:style>
  <w:style w:type="character" w:styleId="ListLabel49">
    <w:name w:val="ListLabel 49"/>
    <w:qFormat/>
    <w:rPr>
      <w:rFonts w:cs="OpenSymbol"/>
      <w:b w:val="false"/>
      <w:bCs w:val="false"/>
    </w:rPr>
  </w:style>
  <w:style w:type="character" w:styleId="ListLabel50">
    <w:name w:val="ListLabel 50"/>
    <w:qFormat/>
    <w:rPr>
      <w:rFonts w:cs="OpenSymbol"/>
      <w:b w:val="false"/>
      <w:bCs w:val="false"/>
    </w:rPr>
  </w:style>
  <w:style w:type="character" w:styleId="ListLabel51">
    <w:name w:val="ListLabel 51"/>
    <w:qFormat/>
    <w:rPr>
      <w:rFonts w:cs="OpenSymbol"/>
      <w:b w:val="false"/>
      <w:bCs w:val="false"/>
    </w:rPr>
  </w:style>
  <w:style w:type="character" w:styleId="ListLabel52">
    <w:name w:val="ListLabel 52"/>
    <w:qFormat/>
    <w:rPr>
      <w:rFonts w:cs="OpenSymbol"/>
      <w:b w:val="false"/>
      <w:bCs w:val="false"/>
    </w:rPr>
  </w:style>
  <w:style w:type="character" w:styleId="ListLabel53">
    <w:name w:val="ListLabel 53"/>
    <w:qFormat/>
    <w:rPr>
      <w:rFonts w:cs="OpenSymbol"/>
      <w:b w:val="false"/>
      <w:bCs w:val="false"/>
    </w:rPr>
  </w:style>
  <w:style w:type="character" w:styleId="ListLabel54">
    <w:name w:val="ListLabel 54"/>
    <w:qFormat/>
    <w:rPr>
      <w:rFonts w:cs="OpenSymbol"/>
      <w:b w:val="false"/>
      <w:bCs w:val="false"/>
    </w:rPr>
  </w:style>
  <w:style w:type="character" w:styleId="Style20">
    <w:name w:val="Выделение жирным"/>
    <w:qFormat/>
    <w:rPr>
      <w:b/>
      <w:bCs/>
    </w:rPr>
  </w:style>
  <w:style w:type="character" w:styleId="ListLabel55">
    <w:name w:val="ListLabel 55"/>
    <w:qFormat/>
    <w:rPr>
      <w:rFonts w:ascii="Times New Roman" w:hAnsi="Times New Roman" w:cs="Symbol"/>
      <w:b w:val="false"/>
      <w:sz w:val="27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OpenSymbol"/>
      <w:b w:val="false"/>
      <w:bCs w:val="false"/>
    </w:rPr>
  </w:style>
  <w:style w:type="character" w:styleId="ListLabel65">
    <w:name w:val="ListLabel 65"/>
    <w:qFormat/>
    <w:rPr>
      <w:rFonts w:cs="OpenSymbol"/>
      <w:b w:val="false"/>
      <w:bCs w:val="false"/>
    </w:rPr>
  </w:style>
  <w:style w:type="character" w:styleId="ListLabel66">
    <w:name w:val="ListLabel 66"/>
    <w:qFormat/>
    <w:rPr>
      <w:rFonts w:cs="OpenSymbol"/>
      <w:b w:val="false"/>
      <w:bCs w:val="false"/>
    </w:rPr>
  </w:style>
  <w:style w:type="character" w:styleId="ListLabel67">
    <w:name w:val="ListLabel 67"/>
    <w:qFormat/>
    <w:rPr>
      <w:rFonts w:cs="OpenSymbol"/>
      <w:b w:val="false"/>
      <w:bCs w:val="false"/>
    </w:rPr>
  </w:style>
  <w:style w:type="character" w:styleId="ListLabel68">
    <w:name w:val="ListLabel 68"/>
    <w:qFormat/>
    <w:rPr>
      <w:rFonts w:cs="OpenSymbol"/>
      <w:b w:val="false"/>
      <w:bCs w:val="false"/>
    </w:rPr>
  </w:style>
  <w:style w:type="character" w:styleId="ListLabel69">
    <w:name w:val="ListLabel 69"/>
    <w:qFormat/>
    <w:rPr>
      <w:rFonts w:cs="OpenSymbol"/>
      <w:b w:val="false"/>
      <w:bCs w:val="false"/>
    </w:rPr>
  </w:style>
  <w:style w:type="character" w:styleId="ListLabel70">
    <w:name w:val="ListLabel 70"/>
    <w:qFormat/>
    <w:rPr>
      <w:rFonts w:cs="OpenSymbol"/>
      <w:b w:val="false"/>
      <w:bCs w:val="false"/>
    </w:rPr>
  </w:style>
  <w:style w:type="character" w:styleId="ListLabel71">
    <w:name w:val="ListLabel 71"/>
    <w:qFormat/>
    <w:rPr>
      <w:rFonts w:cs="OpenSymbol"/>
      <w:b w:val="false"/>
      <w:bCs w:val="false"/>
    </w:rPr>
  </w:style>
  <w:style w:type="character" w:styleId="ListLabel72">
    <w:name w:val="ListLabel 72"/>
    <w:qFormat/>
    <w:rPr>
      <w:rFonts w:cs="OpenSymbol"/>
      <w:b w:val="false"/>
      <w:bCs w:val="false"/>
    </w:rPr>
  </w:style>
  <w:style w:type="character" w:styleId="ListLabel73">
    <w:name w:val="ListLabel 73"/>
    <w:qFormat/>
    <w:rPr>
      <w:rFonts w:ascii="Times New Roman" w:hAnsi="Times New Roman" w:cs="Symbol"/>
      <w:b w:val="false"/>
      <w:sz w:val="27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OpenSymbol"/>
      <w:b w:val="false"/>
      <w:bCs w:val="false"/>
    </w:rPr>
  </w:style>
  <w:style w:type="character" w:styleId="ListLabel83">
    <w:name w:val="ListLabel 83"/>
    <w:qFormat/>
    <w:rPr>
      <w:rFonts w:cs="OpenSymbol"/>
      <w:b w:val="false"/>
      <w:bCs w:val="false"/>
    </w:rPr>
  </w:style>
  <w:style w:type="character" w:styleId="ListLabel84">
    <w:name w:val="ListLabel 84"/>
    <w:qFormat/>
    <w:rPr>
      <w:rFonts w:cs="OpenSymbol"/>
      <w:b w:val="false"/>
      <w:bCs w:val="false"/>
    </w:rPr>
  </w:style>
  <w:style w:type="character" w:styleId="ListLabel85">
    <w:name w:val="ListLabel 85"/>
    <w:qFormat/>
    <w:rPr>
      <w:rFonts w:cs="OpenSymbol"/>
      <w:b w:val="false"/>
      <w:bCs w:val="false"/>
    </w:rPr>
  </w:style>
  <w:style w:type="character" w:styleId="ListLabel86">
    <w:name w:val="ListLabel 86"/>
    <w:qFormat/>
    <w:rPr>
      <w:rFonts w:cs="OpenSymbol"/>
      <w:b w:val="false"/>
      <w:bCs w:val="false"/>
    </w:rPr>
  </w:style>
  <w:style w:type="character" w:styleId="ListLabel87">
    <w:name w:val="ListLabel 87"/>
    <w:qFormat/>
    <w:rPr>
      <w:rFonts w:cs="OpenSymbol"/>
      <w:b w:val="false"/>
      <w:bCs w:val="false"/>
    </w:rPr>
  </w:style>
  <w:style w:type="character" w:styleId="ListLabel88">
    <w:name w:val="ListLabel 88"/>
    <w:qFormat/>
    <w:rPr>
      <w:rFonts w:cs="OpenSymbol"/>
      <w:b w:val="false"/>
      <w:bCs w:val="false"/>
    </w:rPr>
  </w:style>
  <w:style w:type="character" w:styleId="ListLabel89">
    <w:name w:val="ListLabel 89"/>
    <w:qFormat/>
    <w:rPr>
      <w:rFonts w:cs="OpenSymbol"/>
      <w:b w:val="false"/>
      <w:bCs w:val="false"/>
    </w:rPr>
  </w:style>
  <w:style w:type="character" w:styleId="ListLabel90">
    <w:name w:val="ListLabel 90"/>
    <w:qFormat/>
    <w:rPr>
      <w:rFonts w:cs="OpenSymbol"/>
      <w:b w:val="false"/>
      <w:bCs w:val="false"/>
    </w:rPr>
  </w:style>
  <w:style w:type="paragraph" w:styleId="Style21">
    <w:name w:val="Заголовок"/>
    <w:basedOn w:val="Normal"/>
    <w:next w:val="Style22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ConsPlusCell">
    <w:name w:val="ConsPlusCell"/>
    <w:qFormat/>
    <w:pPr>
      <w:widowControl/>
      <w:overflowPunct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A"/>
      <w:sz w:val="2"/>
      <w:szCs w:val="2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Application>LibreOffice/5.2.1.2$Windows_x86 LibreOffice_project/31dd62db80d4e60af04904455ec9c9219178d620</Application>
  <Pages>7</Pages>
  <Words>1613</Words>
  <Characters>11783</Characters>
  <CharactersWithSpaces>13654</CharactersWithSpaces>
  <Paragraphs>93</Paragraphs>
  <Company>КонсультантПлюс Версия 4020.00.61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2021-04-28T13:55:00Z</dcterms:created>
  <dc:creator>RePack by Diakov</dc:creator>
  <dc:description/>
  <dc:language>ru-RU</dc:language>
  <cp:lastModifiedBy/>
  <cp:lastPrinted>2023-07-18T14:36:43Z</cp:lastPrinted>
  <dcterms:modified xsi:type="dcterms:W3CDTF">2023-07-20T13:31:58Z</dcterms:modified>
  <cp:revision>198</cp:revision>
  <dc:subject/>
  <dc:title>Распоряжение Правительства РФ от 17.11.2008 N 1662-р(ред. от 28.09.2018)&lt;О Концепции долгосрочного социально-экономического развития Российской Федерации на период до 2020 года&gt;(вместе с "Концепцией долгосрочного социально-экономического развития Российской Федерации на период до 2020 года")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