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Заключение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  <w:u w:val="none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«О внесении изменений             в постановление администрации города Канска от 12.12.2016 № 1365  «Об утверждении муниципальной программы города Канска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«Городское хозяйство»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(проект внесен УС и ЖКХ администрации города Канска письмом      от 29.11.2022 № ис-315)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Цель экспертизы: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Предмет экспертизы: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проект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с «30» ноября 2022 года                                         по «30» ноября 2022 года.  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о разработке муниципальных программ города Канска, их формировании                     и реализации»;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- Постановление администрации города Канска от 22.08.2013 № 1095     (с внесенными изменениями) «Об утверждении перечня муниципальных программ города Канска».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 (далее - Проект постановления, муниципальная программа), по результатам которой установлено следующее: </w:t>
      </w:r>
    </w:p>
    <w:p>
      <w:pPr>
        <w:pStyle w:val="ListParagraph"/>
        <w:widowControl/>
        <w:tabs>
          <w:tab w:val="clear" w:pos="720"/>
          <w:tab w:val="left" w:pos="993" w:leader="none"/>
        </w:tabs>
        <w:bidi w:val="0"/>
        <w:spacing w:lineRule="auto" w:line="259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1. Проект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«О внесении изменений в постановление администрации города Канска от 12.12.2016 №1365 «Об утверждении муниципальной программы города Канска «Городское хозяйство» предоставлен с сопроводительным письмом от 29.11.2022 № ис-315,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Проект муниципальной программы содержит основные направления развития данной сферы, целью программы является, создание условий                   для обеспечения жизнедеятельности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16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Приоритеты государственной политики в жилищно-коммунальной сфере определены в соответствии с Указом Президента РФ от 07.05.2012                     № 600 «О мерах по обеспечению граждан Российской Федерации доступным и комфортным жильем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№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1662-р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(в ред. распоряжения Правительства РФ от 08.08.2009 № 1121-р).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7"/>
          <w:szCs w:val="27"/>
          <w:u w:val="none"/>
        </w:rPr>
        <w:t xml:space="preserve">   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Основными задачами для достижения целей являются: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>
      <w:pPr>
        <w:pStyle w:val="Normal"/>
        <w:tabs>
          <w:tab w:val="clear" w:pos="720"/>
          <w:tab w:val="left" w:pos="736" w:leader="none"/>
          <w:tab w:val="left" w:pos="845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>4.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Анализ структуры и содержание муниципальной программы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Структура муниципальной программы города Канска «Городское хозяйство» предусматривает реализацию четырех подпрограмм и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трех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 отдельных мероприятий: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•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1-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«Развитие транспортной системы».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  <w:u w:val="none"/>
          <w:lang w:eastAsia="zh-CN"/>
        </w:rPr>
        <w:t>Цель:</w:t>
      </w:r>
      <w:r>
        <w:rPr>
          <w:rFonts w:ascii="Times New Roman" w:hAnsi="Times New Roman"/>
          <w:sz w:val="28"/>
          <w:szCs w:val="28"/>
          <w:u w:val="none"/>
        </w:rPr>
        <w:t xml:space="preserve">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 безопасности дорожного движения.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1. обеспечение сохранности, содержания, ремонт, модернизация и развитие сети автомобильных дорог города;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2. обеспечение населения услугами общественного транспорта равной доступностью;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u w:val="none"/>
          <w:lang w:val="ru-RU" w:eastAsia="ru-RU" w:bidi="ar-SA"/>
        </w:rPr>
        <w:t>3. обеспечение дорожной безопасности.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2 - </w:t>
      </w:r>
      <w:r>
        <w:rPr>
          <w:rFonts w:ascii="Times New Roman" w:hAnsi="Times New Roman"/>
          <w:sz w:val="28"/>
          <w:szCs w:val="28"/>
          <w:u w:val="none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обеспечение населения города качественными жилищно-коммунальными услугами в условиях  энергосбережения и повышения энергетической эффективности.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Задачи:                                </w:t>
      </w:r>
    </w:p>
    <w:p>
      <w:pPr>
        <w:pStyle w:val="Normal"/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развитие, модернизация и капитальный ремонт объектов коммунальной инфраструктуры, находящиеся в муниципальной собственности города Канска;</w:t>
      </w:r>
    </w:p>
    <w:p>
      <w:pPr>
        <w:pStyle w:val="Normal"/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создание условий для безубыточной деятельности организаций коммунального комплекса;</w:t>
      </w:r>
    </w:p>
    <w:p>
      <w:pPr>
        <w:pStyle w:val="Normal"/>
        <w:tabs>
          <w:tab w:val="clear" w:pos="720"/>
          <w:tab w:val="left" w:pos="335" w:leader="none"/>
          <w:tab w:val="left" w:pos="498" w:leader="none"/>
        </w:tabs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3. энергосбережение и повышение энергетической эффективности;</w:t>
      </w:r>
    </w:p>
    <w:p>
      <w:pPr>
        <w:pStyle w:val="Normal"/>
        <w:tabs>
          <w:tab w:val="clear" w:pos="720"/>
          <w:tab w:val="left" w:pos="993" w:leader="none"/>
        </w:tabs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4. обеспечение населения города чистой питьевой водой.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подпрограмма 3 - «Обращение с твердыми бытовыми отходами                              на территории города».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Задачи: сбор, обезвреживание и вывоз отходов, информационное обеспечение в области обращения с отходами.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4 - «Благоустройство города». </w:t>
      </w:r>
    </w:p>
    <w:p>
      <w:pPr>
        <w:pStyle w:val="Normal"/>
        <w:overflowPunct w:val="fals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Задачи:                                </w:t>
      </w:r>
    </w:p>
    <w:p>
      <w:pPr>
        <w:pStyle w:val="ConsPlusCell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обеспечение уличного освещения улично-дорожной сети города;</w:t>
      </w:r>
    </w:p>
    <w:p>
      <w:pPr>
        <w:pStyle w:val="ConsPlusCel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2. повышение уровня благоустроенности городской природной среды.</w:t>
      </w:r>
    </w:p>
    <w:p>
      <w:pPr>
        <w:pStyle w:val="ConsPlusCell"/>
        <w:tabs>
          <w:tab w:val="clear" w:pos="720"/>
          <w:tab w:val="left" w:pos="993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Мероприятие 1 -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  <w:u w:val="none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».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сокращение численности безнадзорных животных до экологически безопасного и социально-приемлемого уровня.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мероприятие 2 -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  <w:u w:val="none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». 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создание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мероприятие 3 - «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  <w:lang w:eastAsia="zh-CN"/>
        </w:rPr>
        <w:t>Мероприятия в области обеспечения капитального ремонта, реконструкции и строительства гидротехнических сооружений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разработка ПСД и строительство сооружений берегоукрепления   р. Кан для защиты жилой застройки и объектов народного хозяйства от затопления и разрушения.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>
          <w:b/>
          <w:b/>
          <w:szCs w:val="28"/>
        </w:rPr>
      </w:pPr>
      <w:r>
        <w:rPr>
          <w:b/>
          <w:sz w:val="28"/>
          <w:szCs w:val="28"/>
          <w:u w:val="none"/>
        </w:rPr>
        <w:t>Анализ ресурсного обеспечения</w:t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>
          <w:b/>
          <w:b/>
          <w:szCs w:val="28"/>
        </w:rPr>
      </w:pPr>
      <w:r>
        <w:rPr>
          <w:b/>
          <w:sz w:val="28"/>
          <w:szCs w:val="28"/>
          <w:u w:val="none"/>
        </w:rPr>
        <w:t xml:space="preserve"> </w:t>
      </w:r>
      <w:r>
        <w:rPr>
          <w:b/>
          <w:sz w:val="28"/>
          <w:szCs w:val="28"/>
          <w:u w:val="none"/>
        </w:rPr>
        <w:t>(анализ структуры управления и финансовые ресурсы)</w:t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>
          <w:rFonts w:ascii="Times New Roman" w:hAnsi="Times New Roman"/>
          <w:b/>
          <w:b/>
          <w:sz w:val="28"/>
          <w:szCs w:val="28"/>
          <w:u w:val="none"/>
        </w:rPr>
      </w:pPr>
      <w:r>
        <w:rPr>
          <w:b/>
          <w:sz w:val="28"/>
          <w:szCs w:val="28"/>
          <w:u w:val="none"/>
        </w:rPr>
      </w:r>
    </w:p>
    <w:p>
      <w:pPr>
        <w:pStyle w:val="Style21"/>
        <w:ind w:firstLine="708"/>
        <w:rPr>
          <w:rFonts w:ascii="Times New Roman" w:hAnsi="Times New Roman"/>
          <w:sz w:val="28"/>
          <w:szCs w:val="28"/>
          <w:u w:val="none"/>
        </w:rPr>
      </w:pPr>
      <w:r>
        <w:rPr>
          <w:sz w:val="28"/>
          <w:szCs w:val="28"/>
          <w:u w:val="none"/>
        </w:rPr>
        <w:t>В предоставленном проекте муниципальной программы «Городское хозяйство» в новой редакции внесены следующие изменения.</w:t>
      </w:r>
    </w:p>
    <w:p>
      <w:pPr>
        <w:pStyle w:val="Style21"/>
        <w:ind w:firstLine="708"/>
        <w:rPr/>
      </w:pPr>
      <w:bookmarkStart w:id="0" w:name="_Hlk42174352"/>
      <w:r>
        <w:rPr>
          <w:sz w:val="28"/>
          <w:szCs w:val="28"/>
          <w:u w:val="none"/>
        </w:rPr>
        <w:t xml:space="preserve"> </w:t>
      </w:r>
      <w:bookmarkEnd w:id="0"/>
      <w:r>
        <w:rPr>
          <w:sz w:val="28"/>
          <w:szCs w:val="28"/>
          <w:u w:val="none"/>
        </w:rPr>
        <w:t>Увеличить общий об</w:t>
      </w:r>
      <w:r>
        <w:rPr>
          <w:b w:val="false"/>
          <w:bCs w:val="false"/>
          <w:sz w:val="28"/>
          <w:szCs w:val="28"/>
          <w:u w:val="none"/>
        </w:rPr>
        <w:t>ъем финансирования муниципальной программы «Городское хозяйство» в 2022 году на 17  124 675,59 рублей, в том числе:</w:t>
      </w:r>
    </w:p>
    <w:p>
      <w:pPr>
        <w:pStyle w:val="Style21"/>
        <w:ind w:firstLine="708"/>
        <w:rPr/>
      </w:pPr>
      <w:r>
        <w:rPr>
          <w:sz w:val="28"/>
          <w:szCs w:val="28"/>
          <w:u w:val="none"/>
        </w:rPr>
        <w:t xml:space="preserve">- </w:t>
      </w:r>
      <w:bookmarkStart w:id="1" w:name="_Hlk98251191"/>
      <w:r>
        <w:rPr>
          <w:sz w:val="28"/>
          <w:szCs w:val="28"/>
          <w:u w:val="none"/>
        </w:rPr>
        <w:t>за счет средств краевого бюджета</w:t>
      </w:r>
      <w:bookmarkEnd w:id="1"/>
      <w:r>
        <w:rPr>
          <w:sz w:val="28"/>
          <w:szCs w:val="28"/>
          <w:u w:val="none"/>
        </w:rPr>
        <w:t xml:space="preserve"> на 6 036 700,00 рублей;</w:t>
      </w:r>
    </w:p>
    <w:p>
      <w:pPr>
        <w:pStyle w:val="Style21"/>
        <w:ind w:firstLine="708"/>
        <w:rPr/>
      </w:pPr>
      <w:r>
        <w:rPr>
          <w:bCs/>
          <w:sz w:val="28"/>
          <w:szCs w:val="28"/>
          <w:u w:val="none"/>
        </w:rPr>
        <w:t>- за счет средств городского бюджета на 11 087 975,59 рублей.</w:t>
      </w:r>
    </w:p>
    <w:p>
      <w:pPr>
        <w:pStyle w:val="Style21"/>
        <w:ind w:firstLine="708"/>
        <w:rPr>
          <w:color w:val="000000"/>
        </w:rPr>
      </w:pPr>
      <w:r>
        <w:rPr>
          <w:bCs/>
          <w:color w:val="000000"/>
          <w:sz w:val="28"/>
          <w:szCs w:val="28"/>
          <w:u w:val="none"/>
        </w:rPr>
        <w:t>Общий объем финансирования</w:t>
      </w:r>
      <w:r>
        <w:rPr>
          <w:color w:val="000000"/>
          <w:position w:val="0"/>
          <w:sz w:val="28"/>
          <w:sz w:val="28"/>
          <w:szCs w:val="28"/>
          <w:u w:val="none"/>
          <w:vertAlign w:val="baseline"/>
        </w:rPr>
        <w:t xml:space="preserve"> </w:t>
      </w:r>
      <w:r>
        <w:rPr>
          <w:bCs/>
          <w:color w:val="000000"/>
          <w:sz w:val="28"/>
          <w:szCs w:val="28"/>
          <w:u w:val="none"/>
        </w:rPr>
        <w:t>муниципальной программы на 2023-2024 года не изменился. Произошло перераспределение по мероприятиям.</w:t>
      </w:r>
    </w:p>
    <w:p>
      <w:pPr>
        <w:pStyle w:val="Style21"/>
        <w:ind w:firstLine="708"/>
        <w:rPr>
          <w:rFonts w:ascii="Times New Roman" w:hAnsi="Times New Roman" w:cs="Times New Roman"/>
          <w:bCs/>
          <w:sz w:val="28"/>
          <w:szCs w:val="28"/>
          <w:u w:val="none"/>
        </w:rPr>
      </w:pPr>
      <w:r>
        <w:rPr>
          <w:rFonts w:cs="Times New Roman"/>
          <w:bCs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В ходе анализа ресурсного обеспечения установлено: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- Структура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За 2022-2024 годы ассигнований предусмотрено в сумме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1 054 859 472,92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рубля. На 2022 год произошло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увеличение ассигнований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в сумме 17 124 675,59 рублей.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•  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1 </w:t>
      </w:r>
      <w:bookmarkStart w:id="2" w:name="__DdeLink__3736_3706019938"/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«Развитие транспортной системы»</w:t>
      </w:r>
      <w:bookmarkEnd w:id="2"/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Данная подпрограмма предусматривает средства городского, федерального и краевого бюджетов для развития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710 492 516,58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рублей </w:t>
      </w:r>
      <w:bookmarkStart w:id="3" w:name="_GoBack2"/>
      <w:bookmarkEnd w:id="3"/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(2022 —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443 784 654,58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рубля, 2023 -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u w:val="none"/>
          <w:lang w:val="ru-RU" w:eastAsia="en-US" w:bidi="ar-SA"/>
        </w:rPr>
        <w:t>155 202 926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,00 рублей, 2024 — 111 504 936,00 рублей).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</w:rPr>
        <w:t xml:space="preserve">По данной подпрограмме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u w:val="none"/>
        </w:rPr>
        <w:t>на 2022 год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</w:rPr>
        <w:t xml:space="preserve"> произошло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u w:val="none"/>
          <w:lang w:val="ru-RU" w:eastAsia="en-US" w:bidi="ar-SA"/>
        </w:rPr>
        <w:t>увеличение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</w:rPr>
        <w:t xml:space="preserve"> расходов</w:t>
      </w:r>
      <w:bookmarkStart w:id="4" w:name="_Hlk21095460111"/>
      <w:r>
        <w:rPr>
          <w:rFonts w:cs="Times New Roman" w:ascii="Times New Roman" w:hAnsi="Times New Roman"/>
          <w:b/>
          <w:bCs/>
          <w:color w:val="000000"/>
          <w:sz w:val="28"/>
          <w:szCs w:val="28"/>
          <w:u w:val="none"/>
        </w:rPr>
        <w:t xml:space="preserve"> </w:t>
      </w:r>
      <w:bookmarkEnd w:id="4"/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u w:val="none"/>
        </w:rPr>
        <w:t xml:space="preserve">на </w:t>
      </w:r>
      <w:r>
        <w:rPr>
          <w:rFonts w:eastAsia="Calibri" w:cs="Times New Roman" w:ascii="Times New Roman" w:hAnsi="Times New Roman"/>
          <w:b w:val="false"/>
          <w:bCs/>
          <w:color w:val="000000"/>
          <w:kern w:val="0"/>
          <w:sz w:val="28"/>
          <w:szCs w:val="28"/>
          <w:u w:val="none"/>
          <w:lang w:val="ru-RU" w:eastAsia="en-US" w:bidi="ar-SA"/>
        </w:rPr>
        <w:t>7 020 860,41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рублей, в том числе:</w:t>
      </w:r>
    </w:p>
    <w:p>
      <w:pPr>
        <w:pStyle w:val="Normal"/>
        <w:spacing w:before="0" w:after="0"/>
        <w:ind w:left="0" w:right="0" w:firstLine="709"/>
        <w:rPr>
          <w:i/>
          <w:i/>
          <w:iCs/>
        </w:rPr>
      </w:pPr>
      <w:r>
        <w:rPr>
          <w:rFonts w:ascii="Times New Roman" w:hAnsi="Times New Roman"/>
          <w:bCs/>
          <w:i/>
          <w:iCs/>
          <w:sz w:val="28"/>
          <w:szCs w:val="28"/>
          <w:u w:val="none"/>
        </w:rPr>
        <w:t>увеличение по мероприятиям</w:t>
      </w:r>
    </w:p>
    <w:p>
      <w:pPr>
        <w:pStyle w:val="Normal"/>
        <w:spacing w:before="0" w:after="0"/>
        <w:ind w:left="0" w:right="0" w:firstLine="709"/>
        <w:rPr/>
      </w:pPr>
      <w:r>
        <w:rPr>
          <w:rFonts w:ascii="Times New Roman" w:hAnsi="Times New Roman"/>
          <w:bCs/>
          <w:sz w:val="28"/>
          <w:szCs w:val="28"/>
          <w:u w:val="none"/>
        </w:rPr>
        <w:t>- 6 328 093,57 рубля на «Содержание и обслуживание улично-дорожной сети»;</w:t>
      </w:r>
    </w:p>
    <w:p>
      <w:pPr>
        <w:pStyle w:val="Normal"/>
        <w:spacing w:before="0" w:after="0"/>
        <w:ind w:left="0" w:right="0" w:firstLine="709"/>
        <w:rPr/>
      </w:pPr>
      <w:r>
        <w:rPr>
          <w:rFonts w:ascii="Times New Roman" w:hAnsi="Times New Roman"/>
          <w:bCs/>
          <w:sz w:val="28"/>
          <w:szCs w:val="28"/>
          <w:u w:val="none"/>
        </w:rPr>
        <w:t>- 2 547 502,00 рубля на «Ремонт (отсыпка) дорог»;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  <w:u w:val="none"/>
        </w:rPr>
        <w:t>- 173 707,00 рублей на «Капитальный ремонт и ремонт автомобильных дорог общего пользования местного значения за счет средств муниципального дорожного фонда города Канска»;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  <w:u w:val="none"/>
        </w:rPr>
        <w:t>- 598 000,00 рублей на «Содержание искусственных сооружений на автомобильных дорогах за счет средств муниципального дорожного фонда города Канска»;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  <w:u w:val="none"/>
        </w:rPr>
        <w:t>- 348 980,80 рублей на «Нанесение горизонтальной дорожной разметки»;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  <w:u w:val="none"/>
        </w:rPr>
        <w:t xml:space="preserve">- 86 144,40 рубля на «Ремонт светофорных объектов». 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/>
          <w:b w:val="false"/>
          <w:bCs/>
          <w:i/>
          <w:iCs/>
          <w:color w:val="000000"/>
          <w:sz w:val="28"/>
          <w:szCs w:val="28"/>
          <w:u w:val="none"/>
        </w:rPr>
        <w:t xml:space="preserve">уменьшение по мероприятиям 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8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- 2 721 209,00 рублей на «Проектная документация за счет средств муниципального дорожного фонда города Канска»;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8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- 252 364,36 рубля на «Организация мест остановок общественного пассажирского транспорта»;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8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>- 87 994,00 рубля на «Приобретение и установка светофорных объектов».</w:t>
      </w:r>
    </w:p>
    <w:p>
      <w:pPr>
        <w:pStyle w:val="Style21"/>
        <w:ind w:right="-143" w:firstLine="708"/>
        <w:rPr/>
      </w:pPr>
      <w:r>
        <w:rPr>
          <w:b/>
          <w:bCs/>
          <w:szCs w:val="28"/>
        </w:rPr>
        <w:t xml:space="preserve">На </w:t>
      </w:r>
      <w:r>
        <w:rPr>
          <w:b/>
          <w:szCs w:val="28"/>
        </w:rPr>
        <w:t xml:space="preserve">2023 год </w:t>
      </w:r>
      <w:r>
        <w:rPr>
          <w:b w:val="false"/>
          <w:bCs w:val="false"/>
          <w:color w:val="000000"/>
          <w:sz w:val="28"/>
          <w:szCs w:val="28"/>
          <w:u w:val="none"/>
        </w:rPr>
        <w:t>общий объем финансирования</w:t>
      </w:r>
      <w:r>
        <w:rPr>
          <w:b w:val="false"/>
          <w:bCs w:val="false"/>
          <w:color w:val="000000"/>
          <w:position w:val="0"/>
          <w:sz w:val="28"/>
          <w:sz w:val="28"/>
          <w:szCs w:val="28"/>
          <w:u w:val="none"/>
          <w:vertAlign w:val="baseline"/>
        </w:rPr>
        <w:t xml:space="preserve"> под</w:t>
      </w:r>
      <w:r>
        <w:rPr>
          <w:b w:val="false"/>
          <w:bCs w:val="false"/>
          <w:color w:val="000000"/>
          <w:sz w:val="28"/>
          <w:szCs w:val="28"/>
          <w:u w:val="none"/>
        </w:rPr>
        <w:t xml:space="preserve">программы 1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  <w:lang w:eastAsia="zh-CN"/>
        </w:rPr>
        <w:t>«Развитие транспортной системы»</w:t>
      </w:r>
      <w:r>
        <w:rPr>
          <w:b w:val="false"/>
          <w:bCs w:val="false"/>
          <w:color w:val="000000"/>
          <w:sz w:val="28"/>
          <w:szCs w:val="28"/>
          <w:u w:val="none"/>
        </w:rPr>
        <w:t xml:space="preserve"> не изменился. П</w:t>
      </w:r>
      <w:r>
        <w:rPr>
          <w:b w:val="false"/>
          <w:bCs w:val="false"/>
          <w:color w:val="000000"/>
          <w:szCs w:val="28"/>
        </w:rPr>
        <w:t>ро</w:t>
      </w:r>
      <w:r>
        <w:rPr>
          <w:b w:val="false"/>
          <w:bCs w:val="false"/>
          <w:szCs w:val="28"/>
        </w:rPr>
        <w:t>изошло перераспределение расходов по мероприятиям:</w:t>
      </w:r>
    </w:p>
    <w:p>
      <w:pPr>
        <w:pStyle w:val="Style21"/>
        <w:ind w:right="-143" w:firstLine="708"/>
        <w:rPr/>
      </w:pPr>
      <w:r>
        <w:rPr>
          <w:bCs/>
          <w:i/>
          <w:iCs/>
          <w:szCs w:val="28"/>
          <w:u w:val="none"/>
        </w:rPr>
        <w:t>увеличение по мероприятиям</w:t>
      </w:r>
      <w:r>
        <w:rPr>
          <w:bCs/>
          <w:szCs w:val="28"/>
        </w:rPr>
        <w:t xml:space="preserve"> </w:t>
      </w:r>
    </w:p>
    <w:p>
      <w:pPr>
        <w:pStyle w:val="Style21"/>
        <w:ind w:right="-143" w:firstLine="708"/>
        <w:rPr/>
      </w:pPr>
      <w:r>
        <w:rPr>
          <w:bCs/>
          <w:szCs w:val="28"/>
        </w:rPr>
        <w:t>- 2 656 820,00 рублей на «Содержание автомобильных дорог общего пользования местного значения и искусственных сооружений на них за счет средств муниципального дорожного фонда города Канска»;</w:t>
      </w:r>
    </w:p>
    <w:p>
      <w:pPr>
        <w:pStyle w:val="Style21"/>
        <w:ind w:right="-143" w:firstLine="708"/>
        <w:rPr/>
      </w:pPr>
      <w:r>
        <w:rPr>
          <w:bCs/>
          <w:szCs w:val="28"/>
        </w:rPr>
        <w:t>- 1 200 000,00 рублей на «Проектная документация за счет средств муниципального дорожного фонда города Канска»;</w:t>
      </w:r>
    </w:p>
    <w:p>
      <w:pPr>
        <w:pStyle w:val="Style21"/>
        <w:ind w:right="-143" w:firstLine="708"/>
        <w:rPr/>
      </w:pPr>
      <w:r>
        <w:rPr>
          <w:bCs/>
          <w:szCs w:val="28"/>
        </w:rPr>
        <w:t>- 300 000,00 рублей на «Техническое обслуживание и содержание светофорных объектов».</w:t>
      </w:r>
    </w:p>
    <w:p>
      <w:pPr>
        <w:pStyle w:val="Style21"/>
        <w:ind w:right="-143" w:firstLine="708"/>
        <w:rPr/>
      </w:pPr>
      <w:r>
        <w:rPr>
          <w:bCs/>
          <w:i/>
          <w:iCs/>
          <w:szCs w:val="28"/>
          <w:u w:val="none"/>
        </w:rPr>
        <w:t>уменьшение по мероприятиям</w:t>
      </w:r>
      <w:r>
        <w:rPr>
          <w:bCs/>
          <w:szCs w:val="28"/>
        </w:rPr>
        <w:t xml:space="preserve"> </w:t>
      </w:r>
    </w:p>
    <w:p>
      <w:pPr>
        <w:pStyle w:val="Style21"/>
        <w:ind w:right="-143" w:firstLine="708"/>
        <w:rPr/>
      </w:pPr>
      <w:r>
        <w:rPr>
          <w:bCs/>
          <w:szCs w:val="28"/>
        </w:rPr>
        <w:t>- 1 200 000,00 рублей на «Ремонт (отсыпка) дорог»;</w:t>
      </w:r>
    </w:p>
    <w:p>
      <w:pPr>
        <w:pStyle w:val="Style21"/>
        <w:ind w:right="-143" w:firstLine="708"/>
        <w:rPr/>
      </w:pPr>
      <w:r>
        <w:rPr>
          <w:bCs/>
          <w:szCs w:val="28"/>
        </w:rPr>
        <w:t>- 656 820,00 рублей на «Замена и установка дорожно - знаковой информации»;</w:t>
      </w:r>
    </w:p>
    <w:p>
      <w:pPr>
        <w:pStyle w:val="Style21"/>
        <w:ind w:right="-143" w:firstLine="708"/>
        <w:rPr/>
      </w:pPr>
      <w:r>
        <w:rPr>
          <w:bCs/>
          <w:szCs w:val="28"/>
        </w:rPr>
        <w:t>- 1 000 000,00 рублей на «</w:t>
      </w:r>
      <w:bookmarkStart w:id="5" w:name="_Hlk120276980"/>
      <w:r>
        <w:rPr>
          <w:bCs/>
          <w:szCs w:val="28"/>
        </w:rPr>
        <w:t>Нанесение горизонтальной дорожной разметки»;</w:t>
      </w:r>
    </w:p>
    <w:p>
      <w:pPr>
        <w:pStyle w:val="Style21"/>
        <w:ind w:right="-143" w:firstLine="708"/>
        <w:rPr/>
      </w:pPr>
      <w:r>
        <w:rPr>
          <w:bCs/>
          <w:szCs w:val="28"/>
        </w:rPr>
        <w:t>- 1 000 000,00 рублей на «Организация мест остановок общественного пассажирского транспорта»;</w:t>
      </w:r>
    </w:p>
    <w:p>
      <w:pPr>
        <w:pStyle w:val="Style21"/>
        <w:ind w:right="-143" w:firstLine="708"/>
        <w:rPr/>
      </w:pPr>
      <w:r>
        <w:rPr>
          <w:bCs/>
          <w:szCs w:val="28"/>
        </w:rPr>
        <w:t xml:space="preserve">- 300 000,00 рублей на </w:t>
      </w:r>
      <w:bookmarkEnd w:id="5"/>
      <w:r>
        <w:rPr>
          <w:bCs/>
          <w:szCs w:val="28"/>
        </w:rPr>
        <w:t>«Ремонт светофорных объектов».</w:t>
      </w:r>
    </w:p>
    <w:p>
      <w:pPr>
        <w:pStyle w:val="Style21"/>
        <w:ind w:right="-143" w:firstLine="708"/>
        <w:rPr/>
      </w:pPr>
      <w:r>
        <w:rPr>
          <w:b/>
          <w:bCs/>
          <w:szCs w:val="28"/>
        </w:rPr>
        <w:t xml:space="preserve">На </w:t>
      </w:r>
      <w:r>
        <w:rPr>
          <w:b/>
          <w:szCs w:val="28"/>
        </w:rPr>
        <w:t xml:space="preserve">2024 год </w:t>
      </w:r>
      <w:r>
        <w:rPr>
          <w:b w:val="false"/>
          <w:bCs w:val="false"/>
          <w:color w:val="000000"/>
          <w:sz w:val="28"/>
          <w:szCs w:val="28"/>
          <w:u w:val="none"/>
        </w:rPr>
        <w:t>общий объем финансирования</w:t>
      </w:r>
      <w:r>
        <w:rPr>
          <w:b w:val="false"/>
          <w:bCs w:val="false"/>
          <w:color w:val="000000"/>
          <w:position w:val="0"/>
          <w:sz w:val="28"/>
          <w:sz w:val="28"/>
          <w:szCs w:val="28"/>
          <w:u w:val="none"/>
          <w:vertAlign w:val="baseline"/>
        </w:rPr>
        <w:t xml:space="preserve"> под</w:t>
      </w:r>
      <w:r>
        <w:rPr>
          <w:b w:val="false"/>
          <w:bCs w:val="false"/>
          <w:color w:val="000000"/>
          <w:sz w:val="28"/>
          <w:szCs w:val="28"/>
          <w:u w:val="none"/>
        </w:rPr>
        <w:t xml:space="preserve">программы 1 </w:t>
      </w:r>
      <w:r>
        <w:rPr>
          <w:rFonts w:cs="Times New Roman"/>
          <w:b w:val="false"/>
          <w:bCs w:val="false"/>
          <w:color w:val="000000"/>
          <w:sz w:val="28"/>
          <w:szCs w:val="28"/>
          <w:u w:val="none"/>
          <w:lang w:eastAsia="zh-CN"/>
        </w:rPr>
        <w:t>«Развитие транспортной системы»</w:t>
      </w:r>
      <w:r>
        <w:rPr>
          <w:b w:val="false"/>
          <w:bCs w:val="false"/>
          <w:color w:val="000000"/>
          <w:sz w:val="28"/>
          <w:szCs w:val="28"/>
          <w:u w:val="none"/>
        </w:rPr>
        <w:t xml:space="preserve"> не изменился. П</w:t>
      </w:r>
      <w:r>
        <w:rPr>
          <w:b w:val="false"/>
          <w:bCs w:val="false"/>
          <w:color w:val="000000"/>
          <w:szCs w:val="28"/>
        </w:rPr>
        <w:t>ро</w:t>
      </w:r>
      <w:r>
        <w:rPr>
          <w:b w:val="false"/>
          <w:bCs w:val="false"/>
          <w:szCs w:val="28"/>
        </w:rPr>
        <w:t>изошло перераспределение расходов по мероприятиям:</w:t>
      </w:r>
    </w:p>
    <w:p>
      <w:pPr>
        <w:pStyle w:val="Style21"/>
        <w:ind w:right="-143" w:firstLine="708"/>
        <w:rPr>
          <w:b w:val="false"/>
          <w:b w:val="false"/>
          <w:bCs w:val="false"/>
        </w:rPr>
      </w:pPr>
      <w:r>
        <w:rPr>
          <w:b w:val="false"/>
          <w:bCs w:val="false"/>
          <w:i/>
          <w:iCs/>
          <w:szCs w:val="28"/>
          <w:u w:val="none"/>
        </w:rPr>
        <w:t>увеличение по мероприятиям</w:t>
      </w:r>
      <w:r>
        <w:rPr>
          <w:b w:val="false"/>
          <w:bCs w:val="false"/>
          <w:szCs w:val="28"/>
        </w:rPr>
        <w:t xml:space="preserve"> </w:t>
      </w:r>
    </w:p>
    <w:p>
      <w:pPr>
        <w:pStyle w:val="Style21"/>
        <w:ind w:right="-143" w:firstLine="708"/>
        <w:rPr/>
      </w:pPr>
      <w:r>
        <w:rPr>
          <w:bCs/>
          <w:szCs w:val="28"/>
        </w:rPr>
        <w:t>- 2 613 338,00 рублей на «Содержание автомобильных дорог общего пользования местного значения и искусственных сооружений на них за счет средств муниципального дорожного фонда города Канска».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8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8"/>
          <w:szCs w:val="28"/>
        </w:rPr>
      </w:pPr>
      <w:r>
        <w:rPr>
          <w:rFonts w:cs="Times New Roman"/>
          <w:b w:val="false"/>
          <w:bCs/>
          <w:i/>
          <w:iCs/>
          <w:color w:val="000000"/>
          <w:sz w:val="28"/>
          <w:szCs w:val="28"/>
          <w:u w:val="none"/>
        </w:rPr>
        <w:t>уменьшение по мероприятиям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8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8"/>
          <w:szCs w:val="28"/>
        </w:rPr>
      </w:pPr>
      <w:r>
        <w:rPr>
          <w:rFonts w:cs="Times New Roman"/>
          <w:b w:val="false"/>
          <w:bCs/>
          <w:color w:val="000000"/>
          <w:sz w:val="28"/>
          <w:szCs w:val="28"/>
        </w:rPr>
        <w:t>- 613 338,00 рублей на «Замена и установка дорожно - знаковой информации»;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8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8"/>
          <w:szCs w:val="28"/>
        </w:rPr>
      </w:pPr>
      <w:r>
        <w:rPr>
          <w:rFonts w:cs="Times New Roman"/>
          <w:b w:val="false"/>
          <w:bCs/>
          <w:color w:val="000000"/>
          <w:sz w:val="28"/>
          <w:szCs w:val="28"/>
        </w:rPr>
        <w:t>- 1 000 000,00 рублей на «Нанесение горизонтальной дорожной разметки»;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8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8"/>
          <w:szCs w:val="28"/>
        </w:rPr>
      </w:pPr>
      <w:r>
        <w:rPr>
          <w:rFonts w:cs="Times New Roman"/>
          <w:b w:val="false"/>
          <w:bCs/>
          <w:color w:val="000000"/>
          <w:sz w:val="28"/>
          <w:szCs w:val="28"/>
        </w:rPr>
        <w:t>- 1 000 000,00 рублей на «Организация мест остановок общественного пассажирского транспорта».</w:t>
      </w:r>
    </w:p>
    <w:p>
      <w:pPr>
        <w:pStyle w:val="Style21"/>
        <w:numPr>
          <w:ilvl w:val="0"/>
          <w:numId w:val="2"/>
        </w:numPr>
        <w:tabs>
          <w:tab w:val="clear" w:pos="720"/>
          <w:tab w:val="left" w:pos="993" w:leader="none"/>
        </w:tabs>
        <w:spacing w:lineRule="auto" w:line="240" w:before="0" w:after="0"/>
        <w:ind w:left="720" w:right="-143" w:firstLine="708"/>
        <w:jc w:val="both"/>
        <w:rPr/>
      </w:pPr>
      <w:r>
        <w:rPr>
          <w:rFonts w:cs="Times New Roman"/>
          <w:color w:val="000000"/>
          <w:sz w:val="28"/>
          <w:szCs w:val="28"/>
        </w:rPr>
        <w:t>по</w:t>
      </w:r>
      <w:r>
        <w:rPr>
          <w:rFonts w:cs="Times New Roman"/>
          <w:sz w:val="28"/>
          <w:szCs w:val="28"/>
        </w:rPr>
        <w:t xml:space="preserve">дпрограмма 2 </w:t>
      </w:r>
      <w:r>
        <w:rPr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обеспечения населения города качественными жилищно-коммунальными услугами в условиях энергосбережения и повышения энергетической эффективности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69 755 818,37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 </w:t>
      </w:r>
      <w:bookmarkStart w:id="6" w:name="_GoBack12"/>
      <w:bookmarkEnd w:id="6"/>
      <w:r>
        <w:rPr>
          <w:rFonts w:cs="Times New Roman" w:ascii="Times New Roman" w:hAnsi="Times New Roman"/>
          <w:color w:val="000000"/>
          <w:sz w:val="28"/>
          <w:szCs w:val="28"/>
        </w:rPr>
        <w:t xml:space="preserve">(2022 -                  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34 161 618,37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рублей, 2023 и 2024 года по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17 797 100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,00 рублей соответственно).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Произошли 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>изменения в 2022 году, уменьшилась сумма на 1 200 989,83 рублей, в том числе: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8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8"/>
          <w:szCs w:val="28"/>
        </w:rPr>
      </w:pPr>
      <w:r>
        <w:rPr>
          <w:rFonts w:eastAsia="Calibri" w:cs="Times New Roman"/>
          <w:b w:val="false"/>
          <w:bCs/>
          <w:i/>
          <w:iCs/>
          <w:color w:val="000000"/>
          <w:kern w:val="0"/>
          <w:sz w:val="28"/>
          <w:szCs w:val="28"/>
          <w:u w:val="none"/>
          <w:lang w:val="ru-RU" w:eastAsia="en-US" w:bidi="ar-SA"/>
        </w:rPr>
        <w:t>уменьшение по мероприятиям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567"/>
        <w:jc w:val="both"/>
        <w:rPr>
          <w:rFonts w:ascii="Times New Roman" w:hAnsi="Times New Roman" w:cs="Times New Roman"/>
          <w:b w:val="false"/>
          <w:b w:val="false"/>
          <w:bCs/>
          <w:i w:val="false"/>
          <w:i w:val="false"/>
          <w:iCs w:val="false"/>
          <w:color w:val="000000"/>
          <w:sz w:val="28"/>
          <w:szCs w:val="28"/>
        </w:rPr>
      </w:pPr>
      <w:r>
        <w:rPr>
          <w:rFonts w:eastAsia="Calibri" w:cs="Times New Roman"/>
          <w:b w:val="false"/>
          <w:bCs/>
          <w:i w:val="false"/>
          <w:iCs w:val="false"/>
          <w:color w:val="000000"/>
          <w:kern w:val="0"/>
          <w:sz w:val="28"/>
          <w:szCs w:val="28"/>
          <w:u w:val="none"/>
          <w:lang w:val="ru-RU" w:eastAsia="en-US" w:bidi="ar-SA"/>
        </w:rPr>
        <w:t>- 884 529,79 рублей на «Строительство муниципальных объектов коммунальной и транспортной инфраструктуры»;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567"/>
        <w:jc w:val="both"/>
        <w:rPr>
          <w:rFonts w:ascii="Times New Roman" w:hAnsi="Times New Roman" w:cs="Times New Roman"/>
          <w:b w:val="false"/>
          <w:b w:val="false"/>
          <w:bCs/>
          <w:i w:val="false"/>
          <w:i w:val="false"/>
          <w:iCs w:val="false"/>
          <w:color w:val="000000"/>
          <w:sz w:val="28"/>
          <w:szCs w:val="28"/>
        </w:rPr>
      </w:pPr>
      <w:r>
        <w:rPr>
          <w:rFonts w:eastAsia="Calibri" w:cs="Times New Roman"/>
          <w:b w:val="false"/>
          <w:bCs/>
          <w:i w:val="false"/>
          <w:iCs w:val="false"/>
          <w:color w:val="000000"/>
          <w:kern w:val="0"/>
          <w:sz w:val="28"/>
          <w:szCs w:val="28"/>
          <w:u w:val="none"/>
          <w:lang w:val="ru-RU" w:eastAsia="en-US" w:bidi="ar-SA"/>
        </w:rPr>
        <w:t>- 100 000,00 рублей на «Строительство, и (или) реконструкция, и (или) ремонт объектов электроснабжения, водоснабжения, находящихся в собственности муниципальных образований, для обеспечения подключения некоммерческих товариществ к источникам электроснабжения, водоснабжения»;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567"/>
        <w:jc w:val="both"/>
        <w:rPr>
          <w:rFonts w:ascii="Times New Roman" w:hAnsi="Times New Roman" w:cs="Times New Roman"/>
          <w:b w:val="false"/>
          <w:b w:val="false"/>
          <w:bCs/>
          <w:i w:val="false"/>
          <w:i w:val="false"/>
          <w:iCs w:val="false"/>
          <w:color w:val="000000"/>
          <w:sz w:val="28"/>
          <w:szCs w:val="28"/>
        </w:rPr>
      </w:pPr>
      <w:r>
        <w:rPr>
          <w:rFonts w:eastAsia="Calibri" w:cs="Times New Roman"/>
          <w:b w:val="false"/>
          <w:bCs/>
          <w:i w:val="false"/>
          <w:iCs w:val="false"/>
          <w:color w:val="000000"/>
          <w:kern w:val="0"/>
          <w:sz w:val="28"/>
          <w:szCs w:val="28"/>
          <w:u w:val="none"/>
          <w:lang w:val="ru-RU" w:eastAsia="en-US" w:bidi="ar-SA"/>
        </w:rPr>
        <w:t>- 148 418,75 рублей на «Водопонижение и очистка водоотводов»;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567"/>
        <w:jc w:val="both"/>
        <w:rPr>
          <w:rFonts w:ascii="Times New Roman" w:hAnsi="Times New Roman" w:cs="Times New Roman"/>
          <w:b w:val="false"/>
          <w:b w:val="false"/>
          <w:bCs/>
          <w:i w:val="false"/>
          <w:i w:val="false"/>
          <w:iCs w:val="false"/>
          <w:color w:val="000000"/>
          <w:sz w:val="28"/>
          <w:szCs w:val="28"/>
        </w:rPr>
      </w:pPr>
      <w:r>
        <w:rPr>
          <w:rFonts w:eastAsia="Calibri" w:cs="Times New Roman"/>
          <w:b w:val="false"/>
          <w:bCs/>
          <w:i w:val="false"/>
          <w:iCs w:val="false"/>
          <w:color w:val="000000"/>
          <w:kern w:val="0"/>
          <w:sz w:val="28"/>
          <w:szCs w:val="28"/>
          <w:u w:val="none"/>
          <w:lang w:val="ru-RU" w:eastAsia="en-US" w:bidi="ar-SA"/>
        </w:rPr>
        <w:t>- 68 041,29 рубль на «Проектная документация».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подпрограмма 3 - «Обращение с твердыми бытовыми отходами на территории города».</w:t>
      </w:r>
    </w:p>
    <w:p>
      <w:pPr>
        <w:pStyle w:val="ListParagraph"/>
        <w:tabs>
          <w:tab w:val="clear" w:pos="720"/>
          <w:tab w:val="left" w:pos="993" w:leader="none"/>
          <w:tab w:val="left" w:pos="1134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снижения негативного воздействия отходов на окружающую среду и здоровье населения, путем максимального вовлечения отходов в хозяйственный оборот на основе оптимизации обращения с ними на территории города Канска на 2022 год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4 800 000,00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рублей.</w:t>
      </w:r>
    </w:p>
    <w:p>
      <w:pPr>
        <w:pStyle w:val="ListParagraph"/>
        <w:tabs>
          <w:tab w:val="clear" w:pos="720"/>
          <w:tab w:val="left" w:pos="993" w:leader="none"/>
          <w:tab w:val="left" w:pos="1134" w:leader="none"/>
        </w:tabs>
        <w:overflowPunct w:val="fals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>Увеличилась сумма на 4 800 000,00 рублей по мероприятию «Обустройство мест (площадок) накопления отходов потребления»</w:t>
      </w:r>
      <w:r>
        <w:rPr>
          <w:rFonts w:cs="Times New Roman" w:ascii="Times New Roman" w:hAnsi="Times New Roman"/>
          <w:bCs/>
          <w:sz w:val="28"/>
          <w:szCs w:val="28"/>
          <w:lang w:eastAsia="zh-CN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подпрограмма 4 «Благоустройство города».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городского, федерального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обеспечения комфортных условий для проживания граждан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 xml:space="preserve">177 067 311,25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рублей (2022 —                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65 068 381,25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рубль, 2023 —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59 825 753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рубля, 2024 — 52 173 177,00 рублей).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Произошло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>увеличение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расходов</w:t>
      </w:r>
      <w:bookmarkStart w:id="7" w:name="_Hlk2109546011"/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bookmarkEnd w:id="7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на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>5 017 082,29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рубля, в том числе:</w:t>
      </w:r>
    </w:p>
    <w:p>
      <w:pPr>
        <w:pStyle w:val="Style21"/>
        <w:spacing w:before="0" w:after="0"/>
        <w:ind w:right="-143" w:firstLine="708"/>
        <w:jc w:val="both"/>
        <w:rPr>
          <w:b w:val="false"/>
          <w:b w:val="false"/>
          <w:bCs w:val="false"/>
        </w:rPr>
      </w:pPr>
      <w:r>
        <w:rPr>
          <w:rFonts w:cs="Times New Roman"/>
          <w:b w:val="false"/>
          <w:bCs/>
          <w:i/>
          <w:iCs/>
          <w:color w:val="000000"/>
          <w:sz w:val="28"/>
          <w:szCs w:val="28"/>
          <w:u w:val="none"/>
        </w:rPr>
        <w:t>увеличение по мероприятиям</w:t>
      </w:r>
      <w:r>
        <w:rPr>
          <w:rFonts w:cs="Times New Roman"/>
          <w:b w:val="false"/>
          <w:bCs/>
          <w:color w:val="000000"/>
          <w:sz w:val="28"/>
          <w:szCs w:val="28"/>
        </w:rPr>
        <w:t xml:space="preserve"> 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- 599 815,22 рублей на «Вырубка и обрезка деревьев и кустарников»;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- 1 199 995,79 рублей на «Скашивание  травы и дикорастущих  растений»;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- 1 592 870,79 рублей на «Ликвидация несанкционированных свалок»;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- 171 926,96 рублей на «Организация проведения разборки зданий, надворных построек и многоквартирных домов признанных аварийными, снос сооружений»;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- 60 445,43 рублей на «Выполнение работ по устройству и содержанию Новогоднего городка»;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- 243 292,00 рубля на «Содержание контейнерных площадок и контейнерного оборудования»;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- 165 514,80 рублей на «Вынос наружных инженерных сетей водоснабжения, водоотведения, теплоснабжения, электроснабжения с территории объектов строительства и благоустройства»;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- 96 592,24 рубля на «Благоустройство общественных территорий»;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- 50 000,00 рублей на «Разборка (снос) аварийных объектов незавершенного строительства»;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- 1 518 209,97 рублей на «Расходы муниципального жилого фонда»;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- 80 000,00 рублей на «Техническое обследование жилого фонда»;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- 55 374,00 рубля на «Проектная документация»;</w:t>
      </w:r>
    </w:p>
    <w:p>
      <w:pPr>
        <w:pStyle w:val="Style21"/>
        <w:spacing w:before="0" w:after="0"/>
        <w:ind w:right="-143" w:firstLine="567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- 577 035,14 рублей на «Уличное освещение».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8"/>
        <w:jc w:val="both"/>
        <w:rPr>
          <w:rFonts w:ascii="Times New Roman" w:hAnsi="Times New Roman" w:cs="Times New Roman"/>
          <w:b w:val="false"/>
          <w:b w:val="false"/>
          <w:bCs/>
          <w:color w:val="000000"/>
          <w:sz w:val="28"/>
          <w:szCs w:val="28"/>
        </w:rPr>
      </w:pPr>
      <w:r>
        <w:rPr>
          <w:rFonts w:eastAsia="Calibri" w:cs="Times New Roman"/>
          <w:b w:val="false"/>
          <w:bCs/>
          <w:i/>
          <w:iCs/>
          <w:color w:val="000000"/>
          <w:kern w:val="0"/>
          <w:sz w:val="28"/>
          <w:szCs w:val="28"/>
          <w:u w:val="none"/>
          <w:lang w:val="ru-RU" w:eastAsia="en-US" w:bidi="ar-SA"/>
        </w:rPr>
        <w:t>уменьшение по мероприятиям</w:t>
      </w:r>
    </w:p>
    <w:p>
      <w:pPr>
        <w:pStyle w:val="Style21"/>
        <w:spacing w:before="0" w:after="0"/>
        <w:ind w:right="-143" w:firstLine="709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- 443,07 рубля на «Содержание фонтанов»;</w:t>
      </w:r>
    </w:p>
    <w:p>
      <w:pPr>
        <w:pStyle w:val="Style21"/>
        <w:spacing w:before="0" w:after="0"/>
        <w:ind w:right="-143" w:firstLine="709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- 292 952,66 рубля на «Приобретение и обустройство контейнерных площадок»;</w:t>
      </w:r>
    </w:p>
    <w:p>
      <w:pPr>
        <w:pStyle w:val="Style21"/>
        <w:spacing w:before="0" w:after="0"/>
        <w:ind w:right="-143" w:firstLine="709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- 85 563,32 рубля на «Технологическое подключение к электрическим сетям объекта благоустройства»;</w:t>
      </w:r>
    </w:p>
    <w:p>
      <w:pPr>
        <w:pStyle w:val="Style21"/>
        <w:spacing w:before="0" w:after="0"/>
        <w:ind w:right="-143" w:firstLine="709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- 1 000 000,00 рублей на «Инициативный проект»;</w:t>
      </w:r>
    </w:p>
    <w:p>
      <w:pPr>
        <w:pStyle w:val="Style21"/>
        <w:spacing w:before="0" w:after="0"/>
        <w:ind w:right="-143" w:firstLine="709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</w:rPr>
        <w:t>- 15 031,00 рубль на «Мероприятия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инфекций».</w:t>
      </w:r>
    </w:p>
    <w:p>
      <w:pPr>
        <w:pStyle w:val="Style21"/>
        <w:ind w:right="-143" w:firstLine="708"/>
        <w:rPr/>
      </w:pPr>
      <w:r>
        <w:rPr>
          <w:b/>
          <w:bCs/>
          <w:szCs w:val="28"/>
        </w:rPr>
        <w:t xml:space="preserve">На </w:t>
      </w:r>
      <w:r>
        <w:rPr>
          <w:b/>
          <w:szCs w:val="28"/>
        </w:rPr>
        <w:t xml:space="preserve">2023 год </w:t>
      </w:r>
      <w:r>
        <w:rPr>
          <w:b w:val="false"/>
          <w:bCs w:val="false"/>
          <w:color w:val="000000"/>
          <w:sz w:val="28"/>
          <w:szCs w:val="28"/>
          <w:u w:val="none"/>
        </w:rPr>
        <w:t>общий объем финансирования</w:t>
      </w:r>
      <w:r>
        <w:rPr>
          <w:b w:val="false"/>
          <w:bCs w:val="false"/>
          <w:color w:val="000000"/>
          <w:position w:val="0"/>
          <w:sz w:val="28"/>
          <w:sz w:val="28"/>
          <w:szCs w:val="28"/>
          <w:u w:val="none"/>
          <w:vertAlign w:val="baseline"/>
        </w:rPr>
        <w:t xml:space="preserve"> под</w:t>
      </w:r>
      <w:r>
        <w:rPr>
          <w:b w:val="false"/>
          <w:bCs w:val="false"/>
          <w:color w:val="000000"/>
          <w:sz w:val="28"/>
          <w:szCs w:val="28"/>
          <w:u w:val="none"/>
        </w:rPr>
        <w:t xml:space="preserve">программы 4 «Благоустройство города»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ru-RU" w:bidi="ar-SA"/>
        </w:rPr>
        <w:t xml:space="preserve">увеличился </w:t>
      </w:r>
      <w:r>
        <w:rPr>
          <w:b w:val="false"/>
          <w:bCs w:val="false"/>
          <w:szCs w:val="28"/>
        </w:rPr>
        <w:t xml:space="preserve"> по мероприятию «Уличное освещение» на 5 000 000,00 рублей.</w:t>
      </w:r>
    </w:p>
    <w:p>
      <w:pPr>
        <w:pStyle w:val="Style21"/>
        <w:spacing w:before="0" w:after="0"/>
        <w:ind w:right="-143" w:firstLine="708"/>
        <w:jc w:val="both"/>
        <w:rPr>
          <w:rFonts w:ascii="Times New Roman" w:hAnsi="Times New Roman" w:cs="Times New Roman"/>
          <w:b w:val="false"/>
          <w:b w:val="false"/>
          <w:bCs w:val="false"/>
          <w:color w:val="000000"/>
          <w:sz w:val="28"/>
          <w:szCs w:val="28"/>
        </w:rPr>
      </w:pPr>
      <w:r>
        <w:rPr>
          <w:rFonts w:cs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Отдельное мероприятие: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1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Выполнение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Красноярского края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 составляет  в сумме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>7 736 960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,00 рублей (2022 —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>3 276 760</w:t>
      </w:r>
      <w:r>
        <w:rPr>
          <w:rFonts w:cs="Times New Roman" w:ascii="Times New Roman" w:hAnsi="Times New Roman"/>
          <w:sz w:val="28"/>
          <w:szCs w:val="28"/>
          <w:lang w:eastAsia="zh-CN"/>
        </w:rPr>
        <w:t>,00 рублей, 2023-2024</w:t>
      </w:r>
      <w:r>
        <w:rPr>
          <w:rFonts w:cs="Times New Roman" w:ascii="Times New Roman" w:hAnsi="Times New Roman"/>
          <w:sz w:val="28"/>
          <w:szCs w:val="28"/>
        </w:rPr>
        <w:t xml:space="preserve"> года по 2 230 100,00 рублей ежегодно). </w:t>
      </w:r>
      <w:r>
        <w:rPr>
          <w:rFonts w:cs="Times New Roman" w:ascii="Times New Roman" w:hAnsi="Times New Roman"/>
          <w:bCs/>
          <w:sz w:val="28"/>
          <w:szCs w:val="28"/>
        </w:rPr>
        <w:t xml:space="preserve">По данному мероприятию произошло </w:t>
      </w:r>
      <w:r>
        <w:rPr>
          <w:rFonts w:eastAsia="Calibri" w:cs="Tahoma" w:ascii="Times New Roman" w:hAnsi="Times New Roman"/>
          <w:bCs/>
          <w:color w:val="auto"/>
          <w:kern w:val="0"/>
          <w:sz w:val="28"/>
          <w:szCs w:val="28"/>
          <w:lang w:val="ru-RU" w:eastAsia="en-US" w:bidi="ar-SA"/>
        </w:rPr>
        <w:t>увеличение</w:t>
      </w:r>
      <w:r>
        <w:rPr>
          <w:rFonts w:cs="Times New Roman" w:ascii="Times New Roman" w:hAnsi="Times New Roman"/>
          <w:bCs/>
          <w:sz w:val="28"/>
          <w:szCs w:val="28"/>
        </w:rPr>
        <w:t xml:space="preserve"> расходов</w:t>
      </w:r>
      <w:bookmarkStart w:id="8" w:name="_Hlk210954601"/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bookmarkEnd w:id="8"/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бюджета в 2022 году на 1 023 400,00 рублей.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М</w:t>
      </w:r>
      <w:r>
        <w:rPr>
          <w:rFonts w:cs="Times New Roman" w:ascii="Times New Roman" w:hAnsi="Times New Roman"/>
          <w:sz w:val="28"/>
          <w:szCs w:val="28"/>
        </w:rPr>
        <w:t xml:space="preserve">ероприятие 2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 составляет в сумме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>85 006 866,72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 рублей (2022 —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>32 298 824,72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 рубля, 2023 - 23 721 621,00 рубль, 2024 - 28 986 421,00 рубль).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 xml:space="preserve">По данному мероприятию произошло </w:t>
      </w:r>
      <w:r>
        <w:rPr>
          <w:rFonts w:eastAsia="Calibri" w:cs="Tahoma" w:ascii="Times New Roman" w:hAnsi="Times New Roman"/>
          <w:bCs/>
          <w:color w:val="auto"/>
          <w:kern w:val="0"/>
          <w:sz w:val="28"/>
          <w:szCs w:val="28"/>
          <w:lang w:val="ru-RU" w:eastAsia="en-US" w:bidi="ar-SA"/>
        </w:rPr>
        <w:t>увеличение</w:t>
      </w:r>
      <w:r>
        <w:rPr>
          <w:rFonts w:ascii="Times New Roman" w:hAnsi="Times New Roman"/>
          <w:bCs/>
          <w:sz w:val="28"/>
          <w:szCs w:val="28"/>
        </w:rPr>
        <w:t xml:space="preserve"> расходов</w:t>
      </w:r>
      <w:bookmarkStart w:id="9" w:name="_Hlk21095460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bookmarkEnd w:id="9"/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бюджета в 2022 году на </w:t>
      </w:r>
      <w:r>
        <w:rPr>
          <w:rFonts w:eastAsia="Calibri" w:cs="Tahoma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464 322,72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рубля. В 2023 году по отдельному мероприятию уменьшены ассигнования на 5 000 000,00 рублей.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b w:val="false"/>
          <w:b w:val="false"/>
          <w:bCs w:val="false"/>
          <w:sz w:val="27"/>
          <w:szCs w:val="27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Мероприятие 3 «Мероприятия в области обеспечения капитального ремонта, реконструкции и строительства гидротехнических сооружений».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Дан</w:t>
      </w:r>
      <w:r>
        <w:rPr>
          <w:rFonts w:cs="Times New Roman" w:ascii="Times New Roman" w:hAnsi="Times New Roman"/>
          <w:bCs/>
          <w:sz w:val="28"/>
          <w:szCs w:val="28"/>
        </w:rPr>
        <w:t>ное мероприятие не предусмотрено на 2022 год.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i/>
          <w:i/>
          <w:iCs/>
          <w:sz w:val="27"/>
          <w:szCs w:val="27"/>
        </w:rPr>
      </w:pPr>
      <w:r>
        <w:rPr>
          <w:rFonts w:cs="Times New Roman"/>
          <w:b w:val="false"/>
          <w:bCs w:val="false"/>
          <w:i/>
          <w:iCs/>
          <w:sz w:val="28"/>
          <w:szCs w:val="28"/>
        </w:rPr>
        <w:t>По причине изменения бюджетных ассигнований внесены изменения в целевые показатели муниципальной программы с указанием планируемых к достижению значений в результате реализации муниципальной программы и показатели результативности.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228" w:after="228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целям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Утвердить проект программы «Городское хозяйство».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hyperlink r:id="rId2">
        <w:r>
          <w:rPr>
            <w:rStyle w:val="Style"/>
            <w:rFonts w:cs="Times New Roman" w:ascii="Times New Roman" w:hAnsi="Times New Roman"/>
            <w:sz w:val="20"/>
            <w:szCs w:val="20"/>
          </w:rPr>
          <w:t>8(39161) 3-28-08</w:t>
        </w:r>
      </w:hyperlink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701" w:right="850" w:header="1134" w:top="1670" w:footer="709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tabs>
        <w:tab w:val="left" w:pos="4515" w:leader="none"/>
        <w:tab w:val="center" w:pos="4677" w:leader="none"/>
        <w:tab w:val="right" w:pos="9355" w:leader="none"/>
      </w:tabs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ab/>
      <w:tab/>
    </w:r>
  </w:p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8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7"/>
        <w:b w:val="false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7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Style19">
    <w:name w:val="Маркеры списка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ConsPlusCell">
    <w:name w:val="ConsPlusCell"/>
    <w:qFormat/>
    <w:pPr>
      <w:widowControl/>
      <w:overflowPunct w:val="true"/>
      <w:bidi w:val="0"/>
      <w:spacing w:lineRule="auto" w:line="240" w:before="0" w:after="0"/>
      <w:jc w:val="left"/>
    </w:pPr>
    <w:rPr>
      <w:rFonts w:ascii="Arial" w:hAnsi="Arial" w:eastAsia="Calibri" w:cs="Arial"/>
      <w:color w:val="auto"/>
      <w:kern w:val="0"/>
      <w:sz w:val="2"/>
      <w:szCs w:val="2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413A60353FEA5670CC4712870F4D595D86B1D01B6110A2367F9A12BBE0CF41EFCDE223368A92F3D04C1722E03D6210153F0AB938995856133G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2845</TotalTime>
  <Application>LibreOffice/6.3.6.2$Windows_x86 LibreOffice_project/2196df99b074d8a661f4036fca8fa0cbfa33a497</Application>
  <Pages>8</Pages>
  <Words>2115</Words>
  <Characters>14881</Characters>
  <CharactersWithSpaces>17231</CharactersWithSpaces>
  <Paragraphs>147</Paragraphs>
  <Company>КонсультантПлюс Версия 4020.00.61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2021-04-28T13:55:00Z</dcterms:created>
  <dc:creator>RePack by Diakov</dc:creator>
  <dc:description/>
  <dc:language>ru-RU</dc:language>
  <cp:lastModifiedBy/>
  <cp:lastPrinted>2022-11-30T14:31:02Z</cp:lastPrinted>
  <dcterms:modified xsi:type="dcterms:W3CDTF">2022-11-30T15:24:51Z</dcterms:modified>
  <cp:revision>187</cp:revision>
  <dc:subject/>
  <dc:title>Распоряжение Правительства РФ от 17.11.2008 N 1662-р(ред. от 28.09.2018)&lt;О Концепции долгосрочного социально-экономического развития Российской Федерации на период до 2020 года&gt;(вместе с "Концепцией долгосрочного социально-экономического развития Российской Федерации на период до 2020 года")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