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Заключение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«О внесении изменений             в постановление администрации города Канска от 12.12.2016 № 1365 «Об утверждении муниципальной программы города Канска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(проект внесен УС и ЖКХ администрации города Канска письмом от 02.11.2024 № ИС-192)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2024 год с учетом внесенных изменений.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Цель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</w:t>
      </w:r>
      <w:r>
        <w:rPr>
          <w:rFonts w:cs="Times New Roman" w:ascii="Times New Roman" w:hAnsi="Times New Roman"/>
          <w:sz w:val="28"/>
          <w:szCs w:val="28"/>
          <w:u w:val="none"/>
        </w:rPr>
        <w:t>х</w:t>
      </w:r>
      <w:r>
        <w:rPr>
          <w:rFonts w:cs="Times New Roman" w:ascii="Times New Roman" w:hAnsi="Times New Roman"/>
          <w:sz w:val="28"/>
          <w:szCs w:val="28"/>
          <w:u w:val="none"/>
        </w:rPr>
        <w:t>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Предмет экспертизы: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  <w:u w:val="none"/>
        </w:rPr>
        <w:t>с «</w:t>
      </w:r>
      <w:r>
        <w:rPr>
          <w:rFonts w:cs="Times New Roman" w:ascii="Times New Roman" w:hAnsi="Times New Roman"/>
          <w:sz w:val="28"/>
          <w:szCs w:val="28"/>
          <w:u w:val="none"/>
        </w:rPr>
        <w:t>12</w:t>
      </w:r>
      <w:r>
        <w:rPr>
          <w:rFonts w:cs="Times New Roman" w:ascii="Times New Roman" w:hAnsi="Times New Roman"/>
          <w:sz w:val="28"/>
          <w:szCs w:val="28"/>
          <w:u w:val="none"/>
        </w:rPr>
        <w:t>» ноября 2024 года                                         по «</w:t>
      </w:r>
      <w:r>
        <w:rPr>
          <w:rFonts w:cs="Times New Roman" w:ascii="Times New Roman" w:hAnsi="Times New Roman"/>
          <w:sz w:val="28"/>
          <w:szCs w:val="28"/>
          <w:u w:val="none"/>
        </w:rPr>
        <w:t>12</w:t>
      </w:r>
      <w:r>
        <w:rPr>
          <w:rFonts w:cs="Times New Roman" w:ascii="Times New Roman" w:hAnsi="Times New Roman"/>
          <w:sz w:val="28"/>
          <w:szCs w:val="28"/>
          <w:u w:val="none"/>
        </w:rPr>
        <w:t>» ноября 2024 года.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- Постановление администрации города Канска от 22.08.2013 № 1096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- Постановление администрации города Канска от 22.08.2013 № 1095 (с внесенными изменениями) «Об утверждении перечня муниципальных программ города Канска».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2024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ListParagraph"/>
        <w:widowControl/>
        <w:tabs>
          <w:tab w:val="clear" w:pos="720"/>
          <w:tab w:val="left" w:pos="993" w:leader="none"/>
        </w:tabs>
        <w:bidi w:val="0"/>
        <w:spacing w:lineRule="auto" w:line="259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№1365 «Об утверждении муниципальной программы города Канска «Городское хозяйство» предоставлен с сопроводительным письмом от 02.11.2024 № ИС-192, согласно постановления администрации города Канска от 22.08.2013 № 1096 (с внесенными изменениями) «Об утверждении Порядка принятия решений о разработке муниципальных программ города Канска, их формировании и реализации».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Проект муниципальной программы содержит основные направления развития данной сферы, целью программы является, создание условий                   для обеспечения жизнедеятельности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Приоритеты государственной политики в жилищно-коммунальной сфере определены в соответствии с Указом Президента РФ от 07.05.2012                     № 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№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1662-р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(в ред. распоряжения Правительства РФ от 08.08.2009 № 1121-р).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Основными задачами для достижения целей являются: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clear" w:pos="720"/>
          <w:tab w:val="left" w:pos="736" w:leader="none"/>
          <w:tab w:val="left" w:pos="845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clear" w:pos="720"/>
          <w:tab w:val="left" w:pos="736" w:leader="none"/>
          <w:tab w:val="left" w:pos="845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ascii="Times New Roman" w:hAnsi="Times New Roman"/>
          <w:sz w:val="28"/>
          <w:szCs w:val="28"/>
          <w:u w:val="none"/>
        </w:rPr>
        <w:t>4.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структуры и содержание муниципальной программы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Структура муниципальной программы города Канска «Городское хозяйство» предусматривает реализацию четырех подпрограмм и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трех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 отдельных мероприятий: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•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«Развитие транспортной системы».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  <w:u w:val="none"/>
          <w:lang w:eastAsia="zh-CN"/>
        </w:rPr>
        <w:t>Цель:</w:t>
      </w:r>
      <w:r>
        <w:rPr>
          <w:rFonts w:ascii="Times New Roman" w:hAnsi="Times New Roman"/>
          <w:sz w:val="28"/>
          <w:szCs w:val="28"/>
          <w:u w:val="none"/>
        </w:rPr>
        <w:t xml:space="preserve">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 безопасности дорожного движения.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обеспечение сохранности, содержания, ремонт, модернизация и развитие сети автомобильных дорог города;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услугами общественного транспорта равной доступностью;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u w:val="none"/>
          <w:lang w:val="ru-RU" w:eastAsia="ru-RU" w:bidi="ar-SA"/>
        </w:rPr>
        <w:t>3. обеспечение дорожной безопасности.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2 - </w:t>
      </w:r>
      <w:r>
        <w:rPr>
          <w:rFonts w:ascii="Times New Roman" w:hAnsi="Times New Roman"/>
          <w:sz w:val="28"/>
          <w:szCs w:val="28"/>
          <w:u w:val="none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населения города качественными жилищно-коммунальными услугами в условиях  энергосбережения и повышения энергетической эффективности.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Задачи: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развитие, модернизация и капитальный ремонт объектов коммунальной инфраструктуры, находящиеся в муниципальной собственности города Канска;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создание условий для безубыточной деятельности организаций коммунального комплекса;</w:t>
      </w:r>
    </w:p>
    <w:p>
      <w:pPr>
        <w:pStyle w:val="Normal"/>
        <w:tabs>
          <w:tab w:val="clear" w:pos="720"/>
          <w:tab w:val="left" w:pos="335" w:leader="none"/>
          <w:tab w:val="left" w:pos="498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3. энергосбережение и повышение энергетической эффективности;</w:t>
      </w:r>
    </w:p>
    <w:p>
      <w:pPr>
        <w:pStyle w:val="Normal"/>
        <w:tabs>
          <w:tab w:val="clear" w:pos="720"/>
          <w:tab w:val="left" w:pos="993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4. обеспечение населения города чистой питьевой водой.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подпрограмма 3 - «Обращение с твердыми бытовыми отходами                              на территории города».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Задачи: сбор, обезвреживание и вывоз отходов, информационное обеспечение в области обращения с отходами.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4 - «Благоустройство города».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Задачи:</w:t>
      </w:r>
    </w:p>
    <w:p>
      <w:pPr>
        <w:pStyle w:val="ConsPlusCell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обеспечение уличного освещения улично-дорожной сети города;</w:t>
      </w:r>
    </w:p>
    <w:p>
      <w:pPr>
        <w:pStyle w:val="ConsPlusCel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2. повышение уровня благоустроенности городской природной среды.</w:t>
      </w:r>
    </w:p>
    <w:p>
      <w:pPr>
        <w:pStyle w:val="ConsPlusCell"/>
        <w:tabs>
          <w:tab w:val="clear" w:pos="720"/>
          <w:tab w:val="left" w:pos="993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».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сокращение численности безнадзорных животных до экологически безопасного и социально-приемлемого уровня.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2 -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». 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создание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мероприятие 3 -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  <w:lang w:eastAsia="zh-CN"/>
        </w:rPr>
        <w:t>Мероприятия в области обеспечения капитального ремонта, реконструкции и строительства гидротехнических сооружений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разработка ПСД и строительство сооружений берегоукрепления   р. Кан для защиты жилой застройки и объектов народного хозяйства от затопления и разрушения.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b/>
          <w:b/>
          <w:szCs w:val="28"/>
        </w:rPr>
      </w:pPr>
      <w:r>
        <w:rPr>
          <w:b/>
          <w:sz w:val="28"/>
          <w:szCs w:val="28"/>
          <w:u w:val="none"/>
        </w:rPr>
        <w:t>Анализ ресурсного обеспечения</w:t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sz w:val="27"/>
          <w:szCs w:val="27"/>
        </w:rPr>
      </w:pPr>
      <w:r>
        <w:rPr>
          <w:b/>
          <w:sz w:val="28"/>
          <w:szCs w:val="28"/>
          <w:u w:val="none"/>
        </w:rPr>
        <w:t>(анализ структуры управления и финансовые ресурсы)</w:t>
      </w:r>
    </w:p>
    <w:p>
      <w:pPr>
        <w:pStyle w:val="Style21"/>
        <w:ind w:firstLine="708"/>
        <w:rPr>
          <w:sz w:val="28"/>
          <w:szCs w:val="28"/>
        </w:rPr>
      </w:pPr>
      <w:r>
        <w:rPr>
          <w:sz w:val="28"/>
          <w:szCs w:val="28"/>
          <w:u w:val="none"/>
        </w:rPr>
        <w:t>В предоставленном проекте муниципальной программы «Городское хозяйство» в новой редакции внесены следующие изменения.</w:t>
      </w:r>
    </w:p>
    <w:p>
      <w:pPr>
        <w:pStyle w:val="Style21"/>
        <w:ind w:firstLine="708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Увеличить на 2024 год общий объем финансирования муниципальной программы «Городское хозяйство» на </w:t>
      </w:r>
      <w:r>
        <w:rPr>
          <w:b w:val="false"/>
          <w:bCs w:val="false"/>
          <w:sz w:val="28"/>
          <w:szCs w:val="28"/>
        </w:rPr>
        <w:t>6 241 585,53</w:t>
      </w:r>
      <w:r>
        <w:rPr>
          <w:b w:val="false"/>
          <w:bCs w:val="false"/>
          <w:sz w:val="28"/>
          <w:szCs w:val="28"/>
        </w:rPr>
        <w:t xml:space="preserve"> рублей, в том числе:</w:t>
      </w:r>
    </w:p>
    <w:p>
      <w:pPr>
        <w:pStyle w:val="Style21"/>
        <w:ind w:firstLine="708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>- уменьшить за счет средств из краевого бюджета 214 370,20 рублей;</w:t>
      </w:r>
    </w:p>
    <w:p>
      <w:pPr>
        <w:pStyle w:val="Style21"/>
        <w:ind w:firstLine="708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- увеличить </w:t>
      </w:r>
      <w:bookmarkStart w:id="0" w:name="__DdeLink__950_1996133359"/>
      <w:r>
        <w:rPr>
          <w:b w:val="false"/>
          <w:bCs w:val="false"/>
          <w:sz w:val="28"/>
          <w:szCs w:val="28"/>
        </w:rPr>
        <w:t xml:space="preserve">за счет средств из городского бюджета </w:t>
      </w:r>
      <w:r>
        <w:rPr>
          <w:b w:val="false"/>
          <w:bCs w:val="false"/>
          <w:sz w:val="28"/>
          <w:szCs w:val="28"/>
        </w:rPr>
        <w:t>6 455 955,73</w:t>
      </w:r>
      <w:r>
        <w:rPr>
          <w:b w:val="false"/>
          <w:bCs w:val="false"/>
          <w:sz w:val="28"/>
          <w:szCs w:val="28"/>
        </w:rPr>
        <w:t xml:space="preserve"> рублей</w:t>
      </w:r>
      <w:bookmarkEnd w:id="0"/>
      <w:r>
        <w:rPr>
          <w:b w:val="false"/>
          <w:bCs w:val="false"/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В ходе анализа ресурсного обеспечения установлено: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-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За 2024-2026 годы асс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игнований предусмотрено в сумме 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1 376 337 257,40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рублей, в том числе:</w:t>
      </w:r>
    </w:p>
    <w:p>
      <w:pPr>
        <w:pStyle w:val="Style21"/>
        <w:ind w:firstLine="709"/>
        <w:rPr>
          <w:sz w:val="28"/>
          <w:szCs w:val="28"/>
        </w:rPr>
      </w:pPr>
      <w:r>
        <w:rPr>
          <w:b w:val="false"/>
          <w:bCs/>
          <w:sz w:val="28"/>
          <w:szCs w:val="28"/>
        </w:rPr>
        <w:t xml:space="preserve">- за счет средств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>федерального</w:t>
      </w:r>
      <w:r>
        <w:rPr>
          <w:b w:val="false"/>
          <w:bCs/>
          <w:sz w:val="28"/>
          <w:szCs w:val="28"/>
        </w:rPr>
        <w:t xml:space="preserve"> бюджета на 154 944 050,00 рублей;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bookmarkStart w:id="1" w:name="_Hlk1283831381"/>
      <w:r>
        <w:rPr>
          <w:rFonts w:cs="Times New Roman" w:ascii="Times New Roman" w:hAnsi="Times New Roman"/>
          <w:b w:val="false"/>
          <w:bCs/>
          <w:sz w:val="28"/>
          <w:szCs w:val="28"/>
          <w:u w:val="none"/>
        </w:rPr>
        <w:t>- за счет средств краевого бюджета на 288 159 089,57 рублей</w:t>
      </w:r>
      <w:bookmarkEnd w:id="1"/>
      <w:r>
        <w:rPr>
          <w:rFonts w:cs="Times New Roman" w:ascii="Times New Roman" w:hAnsi="Times New Roman"/>
          <w:b w:val="false"/>
          <w:bCs/>
          <w:sz w:val="28"/>
          <w:szCs w:val="28"/>
          <w:u w:val="none"/>
        </w:rPr>
        <w:t>;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  <w:u w:val="none"/>
        </w:rPr>
        <w:t xml:space="preserve">-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за счет средств городского бюджета 933 234 117,83 рублей</w:t>
      </w:r>
      <w:r>
        <w:rPr>
          <w:rFonts w:cs="Times New Roman" w:ascii="Times New Roman" w:hAnsi="Times New Roman"/>
          <w:b w:val="false"/>
          <w:bCs/>
          <w:sz w:val="28"/>
          <w:szCs w:val="28"/>
          <w:u w:val="none"/>
        </w:rPr>
        <w:t>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  <w:u w:val="none"/>
        </w:rPr>
        <w:t>под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программа 1 «Развитие транспортной системы».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Данная подпрограмма предусматривает средства городского, федерального и краевого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843 541 138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,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рублей </w:t>
      </w:r>
      <w:bookmarkStart w:id="2" w:name="_GoBack2"/>
      <w:bookmarkEnd w:id="2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(2024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4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84 995 183,10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рубля, 2025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207 084 501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,00 рубль, 2026 — 151 461 454,00 рубля).</w:t>
      </w:r>
    </w:p>
    <w:p>
      <w:pPr>
        <w:pStyle w:val="Style21"/>
        <w:ind w:left="0" w:right="0" w:firstLine="709"/>
        <w:rPr>
          <w:sz w:val="28"/>
          <w:szCs w:val="28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Перераспределение</w:t>
      </w:r>
      <w:bookmarkStart w:id="3" w:name="_Hlk107571328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bookmarkEnd w:id="3"/>
      <w:r>
        <w:rPr>
          <w:bCs/>
          <w:sz w:val="28"/>
          <w:szCs w:val="28"/>
        </w:rPr>
        <w:t xml:space="preserve">в 2024 году по подпрограмме </w:t>
      </w:r>
      <w:r>
        <w:rPr>
          <w:b w:val="false"/>
          <w:bCs w:val="false"/>
          <w:sz w:val="28"/>
          <w:szCs w:val="28"/>
        </w:rPr>
        <w:t>1 «Развитие транспортной системы», в том числе:</w:t>
      </w:r>
    </w:p>
    <w:p>
      <w:pPr>
        <w:pStyle w:val="Style21"/>
        <w:ind w:left="0" w:right="0" w:firstLine="709"/>
        <w:rPr>
          <w:i w:val="false"/>
          <w:i w:val="false"/>
          <w:iCs w:val="false"/>
          <w:sz w:val="28"/>
          <w:szCs w:val="28"/>
          <w:u w:val="none"/>
        </w:rPr>
      </w:pPr>
      <w:r>
        <w:rPr>
          <w:bCs/>
          <w:i w:val="false"/>
          <w:iCs w:val="false"/>
          <w:sz w:val="28"/>
          <w:szCs w:val="28"/>
          <w:u w:val="none"/>
        </w:rPr>
        <w:t>Увеличение по мероприятиям «Проектная документация за счет средств муниципального дорожного фонда города Канска» - 75 000,00 руб</w:t>
      </w:r>
      <w:r>
        <w:rPr>
          <w:bCs/>
          <w:i w:val="false"/>
          <w:iCs w:val="false"/>
          <w:sz w:val="28"/>
          <w:szCs w:val="28"/>
          <w:u w:val="none"/>
        </w:rPr>
        <w:t>лей</w:t>
      </w:r>
      <w:r>
        <w:rPr>
          <w:bCs/>
          <w:i w:val="false"/>
          <w:iCs w:val="false"/>
          <w:sz w:val="28"/>
          <w:szCs w:val="28"/>
          <w:u w:val="none"/>
        </w:rPr>
        <w:t>.</w:t>
      </w:r>
    </w:p>
    <w:p>
      <w:pPr>
        <w:pStyle w:val="Style21"/>
        <w:ind w:left="0" w:right="0" w:firstLine="709"/>
        <w:rPr/>
      </w:pPr>
      <w:r>
        <w:rPr>
          <w:rFonts w:cs="Times New Roman"/>
          <w:b w:val="false"/>
          <w:bCs/>
          <w:i w:val="false"/>
          <w:iCs w:val="false"/>
          <w:color w:val="000000"/>
          <w:sz w:val="28"/>
          <w:szCs w:val="28"/>
          <w:u w:val="none"/>
        </w:rPr>
        <w:t>Уменьшение по мероприятиям «Ремо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нт (отсыпка) дорог» -75 000,00 руб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лей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sz w:val="27"/>
          <w:szCs w:val="27"/>
          <w:u w:val="non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по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дпрограмма 2 - </w:t>
      </w:r>
      <w:r>
        <w:rPr>
          <w:rFonts w:ascii="Times New Roman" w:hAnsi="Times New Roman"/>
          <w:sz w:val="28"/>
          <w:szCs w:val="28"/>
          <w:u w:val="none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обеспече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ния населения города качественными жилищно-коммунальными услугами в условиях энергосбережения и повышения энергетической эффективности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7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3 414 326,58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рублей </w:t>
      </w:r>
      <w:bookmarkStart w:id="4" w:name="_GoBack12"/>
      <w:bookmarkEnd w:id="4"/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(202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-              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2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5 437 126,58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рублей, 2025 и 2026 —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 xml:space="preserve"> 23 988 600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,00 рублей соответственно).</w:t>
      </w:r>
    </w:p>
    <w:p>
      <w:pPr>
        <w:pStyle w:val="Style21"/>
        <w:ind w:left="0" w:right="0" w:firstLine="709"/>
        <w:rPr/>
      </w:pPr>
      <w:r>
        <w:rPr>
          <w:bCs/>
          <w:szCs w:val="28"/>
        </w:rPr>
        <w:t>У</w:t>
      </w:r>
      <w:r>
        <w:rPr>
          <w:bCs/>
        </w:rPr>
        <w:t>меньшение</w:t>
      </w:r>
      <w:r>
        <w:rPr>
          <w:bCs/>
          <w:szCs w:val="28"/>
        </w:rPr>
        <w:t xml:space="preserve"> расходов на</w:t>
      </w:r>
      <w:r>
        <w:rPr>
          <w:b w:val="false"/>
          <w:bCs w:val="false"/>
          <w:szCs w:val="28"/>
        </w:rPr>
        <w:t xml:space="preserve"> 852 441,02 руб</w:t>
      </w:r>
      <w:r>
        <w:rPr>
          <w:b w:val="false"/>
          <w:bCs w:val="false"/>
          <w:szCs w:val="28"/>
        </w:rPr>
        <w:t>ль</w:t>
      </w:r>
      <w:r>
        <w:rPr>
          <w:b w:val="false"/>
          <w:bCs w:val="false"/>
          <w:szCs w:val="28"/>
        </w:rPr>
        <w:t>, в том числе:</w:t>
      </w:r>
    </w:p>
    <w:p>
      <w:pPr>
        <w:pStyle w:val="Style21"/>
        <w:ind w:left="0" w:right="0" w:firstLine="709"/>
        <w:rPr/>
      </w:pPr>
      <w:r>
        <w:rPr>
          <w:b w:val="false"/>
          <w:bCs w:val="false"/>
          <w:szCs w:val="28"/>
        </w:rPr>
        <w:t>- уменьшение за счет сред</w:t>
      </w:r>
      <w:r>
        <w:rPr>
          <w:bCs/>
          <w:szCs w:val="28"/>
        </w:rPr>
        <w:t>ств краевого бюджета на 214 370,20 руб</w:t>
      </w:r>
      <w:r>
        <w:rPr>
          <w:bCs/>
          <w:szCs w:val="28"/>
        </w:rPr>
        <w:t>лей</w:t>
      </w:r>
      <w:r>
        <w:rPr>
          <w:bCs/>
          <w:szCs w:val="28"/>
        </w:rPr>
        <w:t>;</w:t>
      </w:r>
    </w:p>
    <w:p>
      <w:pPr>
        <w:pStyle w:val="Style21"/>
        <w:ind w:left="0" w:right="0" w:firstLine="709"/>
        <w:rPr/>
      </w:pPr>
      <w:r>
        <w:rPr>
          <w:bCs/>
          <w:szCs w:val="28"/>
        </w:rPr>
        <w:t>- уменьшение за счет средств городского бюджета на 638 070,82 руб</w:t>
      </w:r>
      <w:r>
        <w:rPr>
          <w:bCs/>
          <w:szCs w:val="28"/>
        </w:rPr>
        <w:t>лей</w:t>
      </w:r>
      <w:r>
        <w:rPr>
          <w:bCs/>
          <w:szCs w:val="28"/>
        </w:rPr>
        <w:t>.</w:t>
      </w:r>
    </w:p>
    <w:p>
      <w:pPr>
        <w:pStyle w:val="Style21"/>
        <w:ind w:left="0" w:right="0" w:firstLine="709"/>
        <w:rPr>
          <w:u w:val="none"/>
        </w:rPr>
      </w:pPr>
      <w:r>
        <w:rPr>
          <w:bCs/>
          <w:u w:val="none"/>
        </w:rPr>
        <w:t xml:space="preserve">Увеличение по мероприятию «Строительство, реконструкция и содержание объектов социальной и коммунальной инфраструктуры» -                 </w:t>
      </w:r>
      <w:r>
        <w:rPr>
          <w:rFonts w:eastAsia="Times New Roman" w:cs="Times New Roman"/>
          <w:bCs/>
          <w:color w:val="auto"/>
          <w:kern w:val="0"/>
          <w:sz w:val="28"/>
          <w:szCs w:val="20"/>
          <w:u w:val="none"/>
          <w:lang w:val="ru-RU" w:eastAsia="ru-RU" w:bidi="ar-SA"/>
        </w:rPr>
        <w:t>567 671,15</w:t>
      </w:r>
      <w:r>
        <w:rPr>
          <w:bCs/>
          <w:u w:val="none"/>
        </w:rPr>
        <w:t xml:space="preserve"> руб</w:t>
      </w:r>
      <w:r>
        <w:rPr>
          <w:bCs/>
          <w:u w:val="none"/>
        </w:rPr>
        <w:t>ль.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b w:val="false"/>
          <w:bCs/>
          <w:sz w:val="27"/>
          <w:szCs w:val="27"/>
          <w:u w:val="none"/>
        </w:rPr>
        <w:t>Уменьшение по мероприятиям «Субсидии на компенсацию расходов общедоступных бань» - 1 205 841,97 руб</w:t>
      </w:r>
      <w:r>
        <w:rPr>
          <w:b w:val="false"/>
          <w:bCs/>
          <w:sz w:val="27"/>
          <w:szCs w:val="27"/>
          <w:u w:val="none"/>
        </w:rPr>
        <w:t>ль</w:t>
      </w:r>
      <w:r>
        <w:rPr>
          <w:b w:val="false"/>
          <w:bCs/>
          <w:sz w:val="27"/>
          <w:szCs w:val="27"/>
          <w:u w:val="none"/>
        </w:rPr>
        <w:t>; «Строительство, и (или) реконструкция,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водоснабжения» - 214 370,20 руб</w:t>
      </w:r>
      <w:r>
        <w:rPr>
          <w:b w:val="false"/>
          <w:bCs/>
          <w:sz w:val="27"/>
          <w:szCs w:val="27"/>
          <w:u w:val="none"/>
        </w:rPr>
        <w:t>лей</w:t>
      </w:r>
      <w:r>
        <w:rPr>
          <w:b w:val="false"/>
          <w:bCs/>
          <w:sz w:val="27"/>
          <w:szCs w:val="27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>
          <w:sz w:val="27"/>
          <w:szCs w:val="27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подпрограмма 3 - «Обращение с твердыми бытовыми отходами на территории города». Данная подпрограмма не предусмотрена на 2024-2026 года.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подпрограмма 4 - «Благоустройство города».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Данная подпрограм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ма предусматривает средства городского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и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краевого бюджетов для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обеспечения комфортных условий для проживания граждан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в сумме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302 888 030,70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</w:t>
      </w:r>
      <w:bookmarkStart w:id="5" w:name="_GoBack121"/>
      <w:bookmarkEnd w:id="5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(2024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36 731 900,70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, 2025 —              108 884 230,00 рублей и 2026 —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 xml:space="preserve"> 57 271 900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,00 рублей).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 xml:space="preserve">По подпрограмме 4 «Благоустройство города» произошло </w:t>
      </w: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>увеличение</w:t>
      </w: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 xml:space="preserve"> средств городского бюджета на </w:t>
      </w: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>1 014 833,89</w:t>
      </w: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 xml:space="preserve"> рубл</w:t>
      </w: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>я</w:t>
      </w:r>
      <w:r>
        <w:rPr>
          <w:rFonts w:ascii="Times New Roman" w:hAnsi="Times New Roman"/>
          <w:b w:val="false"/>
          <w:bCs w:val="false"/>
          <w:sz w:val="28"/>
          <w:szCs w:val="28"/>
          <w:u w:val="none"/>
        </w:rPr>
        <w:t>, в том числе:</w:t>
      </w:r>
      <w:bookmarkStart w:id="6" w:name="_Hlk97279056"/>
      <w:bookmarkStart w:id="7" w:name="_Hlk98245566"/>
    </w:p>
    <w:p>
      <w:pPr>
        <w:pStyle w:val="Style21"/>
        <w:ind w:right="-143" w:firstLine="708"/>
        <w:rPr>
          <w:sz w:val="28"/>
          <w:szCs w:val="28"/>
          <w:u w:val="none"/>
        </w:rPr>
      </w:pPr>
      <w:r>
        <w:rPr>
          <w:bCs/>
          <w:sz w:val="28"/>
          <w:szCs w:val="28"/>
          <w:u w:val="none"/>
        </w:rPr>
        <w:t>Увеличение по мероприятиям «Мероприятие по организации ритуальных услуг, санитарное и эстетическое содержание кладбищ» -          600 000,00 руб</w:t>
      </w:r>
      <w:r>
        <w:rPr>
          <w:bCs/>
          <w:sz w:val="28"/>
          <w:szCs w:val="28"/>
          <w:u w:val="none"/>
        </w:rPr>
        <w:t>лей</w:t>
      </w:r>
      <w:r>
        <w:rPr>
          <w:bCs/>
          <w:sz w:val="28"/>
          <w:szCs w:val="28"/>
          <w:u w:val="none"/>
        </w:rPr>
        <w:t>; «Проектная документация» - 227 546,57 руб</w:t>
      </w:r>
      <w:r>
        <w:rPr>
          <w:bCs/>
          <w:sz w:val="28"/>
          <w:szCs w:val="28"/>
          <w:u w:val="none"/>
        </w:rPr>
        <w:t>лей</w:t>
      </w:r>
      <w:r>
        <w:rPr>
          <w:bCs/>
          <w:sz w:val="28"/>
          <w:szCs w:val="28"/>
          <w:u w:val="none"/>
        </w:rPr>
        <w:t xml:space="preserve">; «Расходы муниципального жилого фонда» - </w:t>
      </w:r>
      <w:r>
        <w:rPr>
          <w:bCs/>
          <w:sz w:val="28"/>
          <w:szCs w:val="28"/>
          <w:u w:val="none"/>
        </w:rPr>
        <w:t>109 510,67</w:t>
      </w:r>
      <w:r>
        <w:rPr>
          <w:bCs/>
          <w:sz w:val="28"/>
          <w:szCs w:val="28"/>
          <w:u w:val="none"/>
        </w:rPr>
        <w:t xml:space="preserve"> руб</w:t>
      </w:r>
      <w:r>
        <w:rPr>
          <w:bCs/>
          <w:sz w:val="28"/>
          <w:szCs w:val="28"/>
          <w:u w:val="none"/>
        </w:rPr>
        <w:t>лей</w:t>
      </w:r>
      <w:r>
        <w:rPr>
          <w:bCs/>
          <w:sz w:val="28"/>
          <w:szCs w:val="28"/>
          <w:u w:val="none"/>
        </w:rPr>
        <w:t>; «Уличное освещение» - 340 578,65 руб</w:t>
      </w:r>
      <w:r>
        <w:rPr>
          <w:bCs/>
          <w:sz w:val="28"/>
          <w:szCs w:val="28"/>
          <w:u w:val="none"/>
        </w:rPr>
        <w:t>л</w:t>
      </w:r>
      <w:r>
        <w:rPr>
          <w:bCs/>
          <w:sz w:val="28"/>
          <w:szCs w:val="28"/>
          <w:u w:val="none"/>
        </w:rPr>
        <w:t>е</w:t>
      </w:r>
      <w:r>
        <w:rPr>
          <w:bCs/>
          <w:sz w:val="28"/>
          <w:szCs w:val="28"/>
          <w:u w:val="none"/>
        </w:rPr>
        <w:t>й</w:t>
      </w:r>
      <w:r>
        <w:rPr>
          <w:bCs/>
          <w:sz w:val="28"/>
          <w:szCs w:val="28"/>
          <w:u w:val="none"/>
        </w:rPr>
        <w:t>.</w:t>
      </w:r>
    </w:p>
    <w:p>
      <w:pPr>
        <w:pStyle w:val="Style21"/>
        <w:ind w:right="-143" w:firstLine="708"/>
        <w:rPr>
          <w:sz w:val="28"/>
          <w:szCs w:val="28"/>
          <w:u w:val="none"/>
        </w:rPr>
      </w:pPr>
      <w:bookmarkEnd w:id="6"/>
      <w:bookmarkEnd w:id="7"/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Уменьшение по мероприятиям: «Обустройство контейнерных площадок» - 2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5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5 380,00 руб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лей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 xml:space="preserve">; «Благоустройство территорий (после сноса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аварийных домов)» - 7 422,00 руб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ля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.</w:t>
      </w:r>
    </w:p>
    <w:p>
      <w:pPr>
        <w:pStyle w:val="Style21"/>
        <w:ind w:right="-143" w:firstLine="708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>2025 год – увеличение расходов на 2 000 000,00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>, в том числе:</w:t>
      </w:r>
    </w:p>
    <w:p>
      <w:pPr>
        <w:pStyle w:val="ListParagraph"/>
        <w:tabs>
          <w:tab w:val="clear" w:pos="720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- увеличение за счет средств городского бюджета на 2 000 000,00 руб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лей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.</w:t>
      </w:r>
    </w:p>
    <w:p>
      <w:pPr>
        <w:pStyle w:val="ListParagraph"/>
        <w:tabs>
          <w:tab w:val="clear" w:pos="720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Отдельные мероприятия: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</w:rPr>
        <w:t xml:space="preserve">Мероприятие 1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  <w:lang w:eastAsia="zh-CN"/>
        </w:rPr>
        <w:t>». Общий объем средств на 202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>4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-2026 годы составляет 7 527 100,00 рублей (2024 - 2 576 500,00 рублей, 2025-2026 по       2 475 300,00 рублей).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>Изменений не произошло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>.</w:t>
      </w:r>
    </w:p>
    <w:p>
      <w:pPr>
        <w:pStyle w:val="Style21"/>
        <w:ind w:right="-143" w:firstLine="709"/>
        <w:rPr>
          <w:sz w:val="28"/>
          <w:szCs w:val="28"/>
        </w:rPr>
      </w:pPr>
      <w:bookmarkStart w:id="8" w:name="__DdeLink__727_1047139294"/>
      <w:bookmarkStart w:id="9" w:name="_Hlk972826671"/>
      <w:bookmarkEnd w:id="9"/>
      <w:r>
        <w:rPr>
          <w:rFonts w:cs="Times New Roman"/>
          <w:b w:val="false"/>
          <w:bCs w:val="false"/>
          <w:sz w:val="28"/>
          <w:szCs w:val="28"/>
          <w:u w:val="none"/>
        </w:rPr>
        <w:t>Мероприятие</w:t>
      </w:r>
      <w:bookmarkEnd w:id="8"/>
      <w:r>
        <w:rPr>
          <w:rFonts w:cs="Times New Roman"/>
          <w:b w:val="false"/>
          <w:bCs w:val="false"/>
          <w:sz w:val="28"/>
          <w:szCs w:val="28"/>
          <w:u w:val="none"/>
        </w:rPr>
        <w:t xml:space="preserve"> 2 </w:t>
      </w:r>
      <w:r>
        <w:rPr>
          <w:rFonts w:cs="Times New Roman"/>
          <w:b w:val="false"/>
          <w:bCs w:val="false"/>
          <w:sz w:val="28"/>
          <w:szCs w:val="28"/>
          <w:u w:val="none"/>
          <w:lang w:eastAsia="zh-CN"/>
        </w:rPr>
        <w:t>«</w:t>
      </w:r>
      <w:r>
        <w:rPr>
          <w:rFonts w:cs="Times New Roman"/>
          <w:b w:val="false"/>
          <w:bCs w:val="false"/>
          <w:sz w:val="28"/>
          <w:szCs w:val="28"/>
          <w:u w:val="none"/>
        </w:rPr>
        <w:t>Обеспечение системы управления муниципальной программой</w:t>
      </w:r>
      <w:r>
        <w:rPr>
          <w:rFonts w:cs="Times New Roman"/>
          <w:b w:val="false"/>
          <w:bCs w:val="false"/>
          <w:sz w:val="28"/>
          <w:szCs w:val="28"/>
          <w:u w:val="none"/>
          <w:lang w:eastAsia="zh-CN"/>
        </w:rPr>
        <w:t xml:space="preserve">». 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Общий объем средств на 2024-2026 годы составляет                   </w:t>
      </w:r>
      <w:r>
        <w:rPr>
          <w:rFonts w:eastAsia="Times New Roman" w:cs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>1</w:t>
      </w:r>
      <w:r>
        <w:rPr>
          <w:rFonts w:eastAsia="Times New Roman" w:cs="Times New Roman"/>
          <w:b w:val="false"/>
          <w:bCs/>
          <w:color w:val="000000"/>
          <w:kern w:val="0"/>
          <w:sz w:val="28"/>
          <w:szCs w:val="28"/>
          <w:u w:val="none"/>
          <w:lang w:val="ru-RU" w:eastAsia="zh-CN" w:bidi="ar-SA"/>
        </w:rPr>
        <w:t>45 721 662,02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 рубля (2024 — 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>56 370 258,02</w:t>
      </w:r>
      <w:r>
        <w:rPr>
          <w:rFonts w:cs="Times New Roman"/>
          <w:b w:val="false"/>
          <w:bCs/>
          <w:color w:val="000000"/>
          <w:sz w:val="28"/>
          <w:szCs w:val="28"/>
          <w:u w:val="none"/>
          <w:lang w:eastAsia="zh-CN"/>
        </w:rPr>
        <w:t xml:space="preserve"> рублей, 2025-2026 по 44 675 702,0 рубля). </w:t>
      </w:r>
      <w:r>
        <w:rPr>
          <w:b w:val="false"/>
          <w:bCs w:val="false"/>
          <w:sz w:val="28"/>
          <w:szCs w:val="28"/>
          <w:u w:val="none"/>
        </w:rPr>
        <w:t xml:space="preserve">Увеличение расходов </w:t>
      </w:r>
      <w:bookmarkStart w:id="10" w:name="_Hlk127264854"/>
      <w:r>
        <w:rPr>
          <w:b w:val="false"/>
          <w:bCs w:val="false"/>
          <w:sz w:val="28"/>
          <w:szCs w:val="28"/>
          <w:u w:val="none"/>
        </w:rPr>
        <w:t xml:space="preserve"> </w:t>
      </w:r>
      <w:bookmarkEnd w:id="10"/>
      <w:r>
        <w:rPr>
          <w:b w:val="false"/>
          <w:bCs w:val="false"/>
          <w:sz w:val="28"/>
          <w:szCs w:val="28"/>
          <w:u w:val="none"/>
        </w:rPr>
        <w:t xml:space="preserve">за счет средств городского бюджета на               </w:t>
      </w:r>
      <w:r>
        <w:rPr>
          <w:b w:val="false"/>
          <w:bCs w:val="false"/>
          <w:sz w:val="28"/>
          <w:szCs w:val="28"/>
          <w:u w:val="none"/>
        </w:rPr>
        <w:t>6 079 192,66</w:t>
      </w:r>
      <w:r>
        <w:rPr>
          <w:b w:val="false"/>
          <w:bCs w:val="false"/>
          <w:sz w:val="28"/>
          <w:szCs w:val="28"/>
          <w:u w:val="none"/>
        </w:rPr>
        <w:t xml:space="preserve"> рубл</w:t>
      </w:r>
      <w:r>
        <w:rPr>
          <w:b w:val="false"/>
          <w:bCs w:val="false"/>
          <w:sz w:val="28"/>
          <w:szCs w:val="28"/>
          <w:u w:val="none"/>
        </w:rPr>
        <w:t>я</w:t>
      </w:r>
      <w:r>
        <w:rPr>
          <w:b w:val="false"/>
          <w:bCs w:val="false"/>
          <w:sz w:val="28"/>
          <w:szCs w:val="28"/>
          <w:u w:val="none"/>
        </w:rPr>
        <w:t>.</w:t>
      </w:r>
    </w:p>
    <w:p>
      <w:pPr>
        <w:pStyle w:val="Style21"/>
        <w:ind w:right="-143" w:firstLine="708"/>
        <w:rPr>
          <w:b w:val="false"/>
          <w:b w:val="false"/>
          <w:bCs w:val="false"/>
        </w:rPr>
      </w:pPr>
      <w:r>
        <w:rPr>
          <w:b w:val="false"/>
          <w:bCs w:val="false"/>
          <w:szCs w:val="28"/>
        </w:rPr>
        <w:t>2025 год -уменьшение расходов на 2 000 000,00 руб</w:t>
      </w:r>
      <w:r>
        <w:rPr>
          <w:b w:val="false"/>
          <w:bCs w:val="false"/>
          <w:szCs w:val="28"/>
        </w:rPr>
        <w:t>лей</w:t>
      </w:r>
      <w:r>
        <w:rPr>
          <w:b w:val="false"/>
          <w:bCs w:val="false"/>
          <w:szCs w:val="28"/>
        </w:rPr>
        <w:t>, в том числе: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9"/>
        <w:jc w:val="both"/>
        <w:rPr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  <w:u w:val="none"/>
        </w:rPr>
        <w:t>- за счет с</w:t>
      </w:r>
      <w:r>
        <w:rPr>
          <w:rFonts w:cs="Times New Roman"/>
          <w:b w:val="false"/>
          <w:bCs/>
          <w:sz w:val="28"/>
          <w:szCs w:val="28"/>
          <w:u w:val="none"/>
        </w:rPr>
        <w:t>редств городского бюджета на 2 000 000,</w:t>
      </w:r>
      <w:r>
        <w:rPr>
          <w:rFonts w:cs="Times New Roman"/>
          <w:b w:val="false"/>
          <w:bCs/>
          <w:sz w:val="28"/>
          <w:szCs w:val="28"/>
          <w:u w:val="none"/>
        </w:rPr>
        <w:t>00</w:t>
      </w:r>
      <w:r>
        <w:rPr>
          <w:rFonts w:cs="Times New Roman"/>
          <w:b w:val="false"/>
          <w:bCs/>
          <w:sz w:val="28"/>
          <w:szCs w:val="28"/>
          <w:u w:val="none"/>
        </w:rPr>
        <w:t xml:space="preserve"> руб</w:t>
      </w:r>
      <w:r>
        <w:rPr>
          <w:rFonts w:cs="Times New Roman"/>
          <w:b w:val="false"/>
          <w:bCs/>
          <w:sz w:val="28"/>
          <w:szCs w:val="28"/>
          <w:u w:val="none"/>
        </w:rPr>
        <w:t>лей</w:t>
      </w:r>
      <w:r>
        <w:rPr>
          <w:rFonts w:cs="Times New Roman"/>
          <w:b w:val="false"/>
          <w:bCs/>
          <w:sz w:val="28"/>
          <w:szCs w:val="28"/>
          <w:u w:val="none"/>
        </w:rPr>
        <w:t>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  <w:u w:val="none"/>
        </w:rPr>
        <w:t>Мероприятие 3 «Мероприятия в области обеспечения капитального ремонта, реконструкции и строительства гидротехнических сооружений» не предусмотрено.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i/>
          <w:i/>
          <w:iCs/>
          <w:sz w:val="27"/>
          <w:szCs w:val="27"/>
        </w:rPr>
      </w:pPr>
      <w:r>
        <w:rPr>
          <w:rFonts w:cs="Times New Roman"/>
          <w:b w:val="false"/>
          <w:bCs w:val="false"/>
          <w:i w:val="false"/>
          <w:iCs w:val="false"/>
          <w:sz w:val="28"/>
          <w:szCs w:val="28"/>
          <w:u w:val="none"/>
        </w:rPr>
        <w:t>По причине изменения бюджетных ассигнований внесены изменения в целевые показатели муниципальной программы с указанием планируемых к достижению значений в результате реализации муниципальной программы и показатели результативности.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228" w:after="228"/>
        <w:ind w:left="0" w:right="0" w:firstLine="709"/>
        <w:jc w:val="center"/>
        <w:rPr>
          <w:sz w:val="27"/>
          <w:szCs w:val="27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Выводы и предложения по результатам проведенной экспертизы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Цель и задачи муниципальной программы аналогичны целям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На основании вышеизложенного Контрольно-счетная комиссия рекомендует: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sz w:val="27"/>
          <w:szCs w:val="27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Утвердить проект программы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sz w:val="27"/>
          <w:szCs w:val="27"/>
          <w:u w:val="none"/>
        </w:rPr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Контрольно-счетной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sz w:val="27"/>
          <w:szCs w:val="27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Парфенова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hyperlink r:id="rId2"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0" w:header="1134" w:top="1670" w:footer="709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tabs>
        <w:tab w:val="left" w:pos="4515" w:leader="none"/>
        <w:tab w:val="center" w:pos="4677" w:leader="none"/>
        <w:tab w:val="right" w:pos="9355" w:leader="none"/>
      </w:tabs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ab/>
      <w:tab/>
    </w:r>
  </w:p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5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7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7"/>
        <w:b w:val="false"/>
        <w:bCs w:val="false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 w:val="false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7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Style19">
    <w:name w:val="Маркеры списка"/>
    <w:qFormat/>
    <w:rPr>
      <w:rFonts w:ascii="OpenSymbol" w:hAnsi="OpenSymbol" w:eastAsia="OpenSymbol" w:cs="OpenSymbol"/>
      <w:b w:val="false"/>
      <w:bCs w:val="fals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ConsPlusCell">
    <w:name w:val="ConsPlusCell"/>
    <w:qFormat/>
    <w:pPr>
      <w:widowControl/>
      <w:overflowPunct w:val="false"/>
      <w:bidi w:val="0"/>
      <w:spacing w:lineRule="auto" w:line="240" w:before="0" w:after="0"/>
      <w:jc w:val="left"/>
    </w:pPr>
    <w:rPr>
      <w:rFonts w:ascii="Arial" w:hAnsi="Arial" w:eastAsia="Calibri" w:cs="Arial"/>
      <w:color w:val="auto"/>
      <w:kern w:val="0"/>
      <w:sz w:val="2"/>
      <w:szCs w:val="2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3114</TotalTime>
  <Application>LibreOffice/6.3.6.2$Windows_x86 LibreOffice_project/2196df99b074d8a661f4036fca8fa0cbfa33a497</Application>
  <Pages>6</Pages>
  <Words>1615</Words>
  <Characters>11568</Characters>
  <CharactersWithSpaces>13417</CharactersWithSpaces>
  <Paragraphs>101</Paragraphs>
  <Company>КонсультантПлюс Версия 4020.00.61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2021-04-28T13:55:00Z</dcterms:created>
  <dc:creator>RePack by Diakov</dc:creator>
  <dc:description/>
  <dc:language>ru-RU</dc:language>
  <cp:lastModifiedBy/>
  <cp:lastPrinted>2024-11-12T13:58:41Z</cp:lastPrinted>
  <dcterms:modified xsi:type="dcterms:W3CDTF">2024-11-12T14:41:13Z</dcterms:modified>
  <cp:revision>199</cp:revision>
  <dc:subject/>
  <dc:title>Распоряжение Правительства РФ от 17.11.2008 N 1662-р(ред. от 28.09.2018)&lt;О Концепции долгосрочного социально-экономического развития Российской Федерации на период до 2020 года&gt;(вместе с "Концепцией долгосрочного социально-экономического развития Российской Федерации на период до 2020 года")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