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09.12.2016 № 1362     «Об утверждении муниципальной программы города Канска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«Развитие образования»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Управлением образования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09</w:t>
      </w:r>
      <w:r>
        <w:rPr>
          <w:rFonts w:cs="Times New Roman" w:ascii="Times New Roman" w:hAnsi="Times New Roman"/>
          <w:sz w:val="28"/>
          <w:szCs w:val="28"/>
        </w:rPr>
        <w:t>.0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240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образования».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14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февраля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года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14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февраля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Решение Канского городского Совета депутатов от 28.05.2019                 № 41-238 «Об утверждении стратегии социально-экономического развития города Канска до 2030 года»;   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Закон Красноярского края от 26.06.2014 № 6-2519 (ред. от </w:t>
      </w:r>
      <w:r>
        <w:rPr>
          <w:rFonts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07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)</w:t>
        <w:br/>
        <w:t>«Об образовании в Красноярском крае».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09</w:t>
      </w:r>
      <w:r>
        <w:rPr>
          <w:rFonts w:cs="Times New Roman" w:ascii="Times New Roman" w:hAnsi="Times New Roman"/>
          <w:sz w:val="28"/>
          <w:szCs w:val="28"/>
        </w:rPr>
        <w:t>.0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240</w:t>
      </w:r>
      <w:r>
        <w:rPr>
          <w:rFonts w:cs="Times New Roman" w:ascii="Times New Roman" w:hAnsi="Times New Roman"/>
          <w:sz w:val="28"/>
          <w:szCs w:val="28"/>
        </w:rPr>
        <w:t xml:space="preserve">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является:</w:t>
      </w:r>
    </w:p>
    <w:p>
      <w:pPr>
        <w:pStyle w:val="ConsPlusNormal"/>
        <w:tabs>
          <w:tab w:val="clear" w:pos="225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ConsPlusNormal"/>
        <w:tabs>
          <w:tab w:val="clear" w:pos="225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tabs>
          <w:tab w:val="clear" w:pos="225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Создать условия для эффективного управления системой образования города Канска.</w:t>
      </w:r>
    </w:p>
    <w:p>
      <w:pPr>
        <w:pStyle w:val="ConsPlusNormal"/>
        <w:tabs>
          <w:tab w:val="clear" w:pos="225"/>
          <w:tab w:val="left" w:pos="1134" w:leader="none"/>
        </w:tabs>
        <w:spacing w:lineRule="auto" w:line="25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225"/>
          <w:tab w:val="left" w:pos="1134" w:leader="none"/>
        </w:tabs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удовлетворенность населения качеством образовательных услуг;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привлекательность педагогической профессии и уровень квалификации преподавательских кадров;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сократить очередь на зачисление детей от одного года до трех лет в дошкольные образовательные организации;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условия, соответствующие требованиям федеральных государственных образовательных стандартов, в том числе для детей с ограниченными возможностями здоровья, умственной отсталостью в образовательных учреждениях;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 для реализации программ дополнительного образования в соответствии с запросами населения, обеспечить проведение мероприятий для развития детских способностей и одаренности.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Качество реализации мероприятий программы будет оцениваться на основании основных целевых показателей программы.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образования» предусматривает реализацию двух подпрограмм: </w:t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».</w:t>
      </w:r>
    </w:p>
    <w:p>
      <w:pPr>
        <w:pStyle w:val="1"/>
        <w:shd w:val="clear" w:color="auto" w:fill="auto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Цель: 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период. </w:t>
      </w:r>
    </w:p>
    <w:p>
      <w:pPr>
        <w:pStyle w:val="1"/>
        <w:shd w:val="clear" w:color="auto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Задачи: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доступность дошкольного образования, соответствующего единому стандарту качества дошкольного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предоставление дополнительного  образования, в том числе за счет разработки и реализации современных образовательных программ, дистанционных и сетевых форм их реализации;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выявлению и поддержке одаренных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безопасный, качественный отдых и оздоровление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развитие профессиональной компетентности педагогов, создать систему дополнительных стимулов повышения имиджа педагогической профессии средствами событийных мероприятий и конкурсного движения;</w:t>
      </w:r>
    </w:p>
    <w:p>
      <w:pPr>
        <w:pStyle w:val="Normal"/>
        <w:numPr>
          <w:ilvl w:val="0"/>
          <w:numId w:val="4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обеспечить психолого-педагогическую и социальную помощь детям, психолого-педагогическое и методическое сопровождение реализации основных общеобразовательных программ.</w:t>
      </w:r>
    </w:p>
    <w:p>
      <w:pPr>
        <w:pStyle w:val="Normal"/>
        <w:numPr>
          <w:ilvl w:val="0"/>
          <w:numId w:val="0"/>
        </w:numPr>
        <w:tabs>
          <w:tab w:val="clear" w:pos="225"/>
          <w:tab w:val="left" w:pos="1134" w:leader="none"/>
        </w:tabs>
        <w:spacing w:lineRule="auto" w:line="240" w:before="0" w:after="0"/>
        <w:ind w:left="612" w:right="0" w:hanging="0"/>
        <w:contextualSpacing/>
        <w:jc w:val="both"/>
        <w:rPr>
          <w:rFonts w:cs="Times New Roman"/>
          <w:bCs/>
          <w:kern w:val="2"/>
        </w:rPr>
      </w:pPr>
      <w:r>
        <w:rPr>
          <w:rFonts w:cs="Times New Roman"/>
          <w:bCs/>
          <w:kern w:val="2"/>
        </w:rPr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2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». </w:t>
      </w:r>
    </w:p>
    <w:p>
      <w:pPr>
        <w:pStyle w:val="Normal"/>
        <w:spacing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Цель: создать условия для эффективного управления системой образования города Канска.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1. Организовать деятельность органа Управления образования и учреждений, обеспечивающих деятельность образовательных учреждений, направленную на эффективное управление системой образования города Канска;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обеспечить методическое, информационное и инженерно-техническое сопровождение деятельности муниципальных образовательных учреждений города Канска</w:t>
      </w:r>
      <w:r>
        <w:rPr>
          <w:rFonts w:cs="Times New Roman" w:ascii="Times New Roman" w:hAnsi="Times New Roman"/>
          <w:color w:val="000000"/>
          <w:sz w:val="28"/>
          <w:szCs w:val="28"/>
        </w:rPr>
        <w:t>, ведение бухгалтерского, статистического и налогового учета муниципальных бюджетных и муниципальных автономных образовательных учреждений, организацию контроля за деятельностью</w:t>
      </w:r>
      <w:r>
        <w:rPr>
          <w:rFonts w:cs="Times New Roman" w:ascii="Times New Roman" w:hAnsi="Times New Roman"/>
          <w:sz w:val="28"/>
          <w:szCs w:val="28"/>
        </w:rPr>
        <w:t xml:space="preserve"> муниципальных образовательных учреждений города Канска.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firstLine="426"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Приведен в соответствие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 xml:space="preserve"> 2022 год, 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ассигнования увеличились на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 xml:space="preserve">  16 973 579,34  руб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лей, в том числе: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 подпрограмме 1 «Развитие дошкольного, общего и дополнительного образования» увеличить финансирование на 16 736 304,34 руб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т.ч. в связи с корректировкой расходов по мероприятиям: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увеличением выплаты до МРОТ и т.д.);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по подпрограмме 2 «Обеспечение реализации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муниципальной программы и прочие мероприятия в области образования» уменьши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лось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финансирование на 237 275,0 руб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 связи с экономией средств.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федерального, краевого и городского бюджетов. Общий объем финансирования    программы на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</w:t>
      </w:r>
      <w:r>
        <w:rPr>
          <w:rFonts w:cs="Times New Roman" w:ascii="Times New Roman" w:hAnsi="Times New Roman"/>
          <w:sz w:val="28"/>
          <w:szCs w:val="28"/>
        </w:rPr>
        <w:t>5 769 529 617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рублей, в том числе за счет средств федерального бюджета 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26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5 681 015,87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,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3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785 880 784,13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и городского бюджета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1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717 967 817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рублей: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в сумме </w:t>
      </w:r>
      <w:r>
        <w:rPr>
          <w:rFonts w:cs="Times New Roman" w:ascii="Times New Roman" w:hAnsi="Times New Roman"/>
          <w:sz w:val="28"/>
          <w:szCs w:val="28"/>
        </w:rPr>
        <w:t>5 528 578 851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 (в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–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1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871 197 877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- 1 </w:t>
      </w:r>
      <w:r>
        <w:rPr>
          <w:rFonts w:cs="Times New Roman" w:ascii="Times New Roman" w:hAnsi="Times New Roman"/>
          <w:sz w:val="28"/>
          <w:szCs w:val="28"/>
        </w:rPr>
        <w:t>866 485 334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-1 </w:t>
      </w:r>
      <w:r>
        <w:rPr>
          <w:rFonts w:cs="Times New Roman" w:ascii="Times New Roman" w:hAnsi="Times New Roman"/>
          <w:sz w:val="28"/>
          <w:szCs w:val="28"/>
        </w:rPr>
        <w:t>790 895 640</w:t>
      </w:r>
      <w:r>
        <w:rPr>
          <w:rFonts w:cs="Times New Roman" w:ascii="Times New Roman" w:hAnsi="Times New Roman"/>
          <w:sz w:val="28"/>
          <w:szCs w:val="28"/>
        </w:rPr>
        <w:t xml:space="preserve">,00 рублей). 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подпрограмме 1 «Развитие дошкольного, общего                                                 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 xml:space="preserve">» увеличено финансирование </w:t>
      </w:r>
      <w:r>
        <w:rPr>
          <w:rFonts w:cs="Times New Roman" w:ascii="Times New Roman" w:hAnsi="Times New Roman"/>
          <w:sz w:val="28"/>
          <w:szCs w:val="28"/>
        </w:rPr>
        <w:t xml:space="preserve">за счет средств </w:t>
      </w:r>
      <w:r>
        <w:rPr>
          <w:rFonts w:cs="Times New Roman" w:ascii="Times New Roman" w:hAnsi="Times New Roman"/>
          <w:sz w:val="28"/>
          <w:szCs w:val="28"/>
        </w:rPr>
        <w:t xml:space="preserve">федерального, </w:t>
      </w:r>
      <w:r>
        <w:rPr>
          <w:rFonts w:cs="Times New Roman" w:ascii="Times New Roman" w:hAnsi="Times New Roman"/>
          <w:sz w:val="28"/>
          <w:szCs w:val="28"/>
        </w:rPr>
        <w:t xml:space="preserve">краевого и городского бюджетов в сумме </w:t>
      </w:r>
      <w:r>
        <w:rPr>
          <w:rFonts w:cs="Times New Roman" w:ascii="Times New Roman" w:hAnsi="Times New Roman"/>
          <w:sz w:val="28"/>
          <w:szCs w:val="28"/>
        </w:rPr>
        <w:t>77 932 818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на следующие мероприятия:</w:t>
      </w:r>
    </w:p>
    <w:p>
      <w:pPr>
        <w:pStyle w:val="Normal"/>
        <w:spacing w:lineRule="auto" w:line="240" w:before="0" w:after="0"/>
        <w:ind w:left="426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За счет средств федерального бюджета на 5</w:t>
      </w:r>
      <w:r>
        <w:rPr>
          <w:rFonts w:eastAsia="Times New Roman" w:cs="Times New Roman" w:ascii="Times New Roman" w:hAnsi="Times New Roman"/>
          <w:sz w:val="28"/>
          <w:szCs w:val="28"/>
        </w:rPr>
        <w:t>4 976 309,11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рублей.</w:t>
      </w:r>
    </w:p>
    <w:p>
      <w:pPr>
        <w:pStyle w:val="Normal"/>
        <w:spacing w:lineRule="auto" w:line="240" w:before="0" w:after="0"/>
        <w:ind w:left="426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За счет средств краевого бюджета на </w:t>
      </w:r>
      <w:r>
        <w:rPr>
          <w:rFonts w:eastAsia="Times New Roman" w:cs="Times New Roman" w:ascii="Times New Roman" w:hAnsi="Times New Roman"/>
          <w:sz w:val="28"/>
          <w:szCs w:val="28"/>
        </w:rPr>
        <w:t>10 493 490,89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рубл</w:t>
      </w:r>
      <w:r>
        <w:rPr>
          <w:rFonts w:eastAsia="Times New Roman" w:cs="Times New Roman" w:ascii="Times New Roman" w:hAnsi="Times New Roman"/>
          <w:sz w:val="28"/>
          <w:szCs w:val="28"/>
        </w:rPr>
        <w:t>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left="426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За счет средств городского бюджета </w:t>
      </w:r>
      <w:r>
        <w:rPr>
          <w:rFonts w:eastAsia="Times New Roman" w:cs="Times New Roman" w:ascii="Times New Roman" w:hAnsi="Times New Roman"/>
          <w:sz w:val="28"/>
          <w:szCs w:val="28"/>
        </w:rPr>
        <w:t>12 463 018,00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рублей.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подпрограмме 1 «Развитие дошкольного, общего и дополнительного образования» увеличить финансирование на  77 932 818,00 руб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т.ч. на выплаты ежемесячного денежного вознаграждения за классное руководство педагогическим работникам, на организацию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Н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а 2024 год увеличить программу на сумму  –  67 952 013,0 руб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лей: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26"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- по подпрограмме 1 «Развитие дошкольного, общего и дополнительного образования» увеличить финансирование на  67 952 013,0 руб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лей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 xml:space="preserve"> (в т.ч. на выплаты ежемесячного денежного вознаграждения за классное руководство педагогическим работникам, на организацию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напитка).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u w:val="none"/>
        </w:rPr>
      </w:r>
    </w:p>
    <w:p>
      <w:pPr>
        <w:pStyle w:val="Normal"/>
        <w:spacing w:lineRule="auto" w:line="240" w:before="0" w:after="0"/>
        <w:ind w:firstLine="426"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Н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а 2025 год увеличить программу на сумму  –  57 202 313,0 руб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лей: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26"/>
        <w:jc w:val="both"/>
        <w:rPr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- по подпрограмме 1 «Развитие дошкольного, общего и дополнительного образования» увеличить финансирование на  57 202 313,0 руб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лей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 xml:space="preserve"> (в т.ч. на выплаты ежемесячного денежного вознаграждения за классное руководство педагогическим работникам, на организацию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iCs/>
          <w:strike w:val="false"/>
          <w:dstrike w:val="false"/>
          <w:outline w:val="false"/>
          <w:shadow w:val="false"/>
          <w:color w:val="000000"/>
          <w:spacing w:val="0"/>
          <w:w w:val="100"/>
          <w:sz w:val="28"/>
          <w:szCs w:val="28"/>
          <w:em w:val="none"/>
          <w:lang w:val="ru-RU" w:eastAsia="ru-RU" w:bidi="ru-RU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ListParagraph"/>
        <w:numPr>
          <w:ilvl w:val="0"/>
          <w:numId w:val="3"/>
        </w:numPr>
        <w:tabs>
          <w:tab w:val="clear" w:pos="225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</w:t>
      </w:r>
      <w:r>
        <w:rPr/>
        <w:t xml:space="preserve">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 в сумме               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>2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>40 950 766,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>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(с 202</w:t>
      </w:r>
      <w:r>
        <w:rPr>
          <w:rFonts w:cs="Times New Roman" w:ascii="Times New Roman" w:hAnsi="Times New Roman"/>
          <w:sz w:val="28"/>
          <w:szCs w:val="28"/>
        </w:rPr>
        <w:t>3 — 80 497 496,00 рублей, 2024</w:t>
      </w:r>
      <w:r>
        <w:rPr>
          <w:rFonts w:cs="Times New Roman" w:ascii="Times New Roman" w:hAnsi="Times New Roman"/>
          <w:sz w:val="28"/>
          <w:szCs w:val="28"/>
        </w:rPr>
        <w:t xml:space="preserve"> - 202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по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80 226 635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ежегодно), </w:t>
      </w:r>
      <w:r>
        <w:rPr>
          <w:rFonts w:cs="Times New Roman" w:ascii="Times New Roman" w:hAnsi="Times New Roman"/>
          <w:sz w:val="28"/>
          <w:szCs w:val="28"/>
        </w:rPr>
        <w:t>в том числе:</w:t>
      </w:r>
    </w:p>
    <w:p>
      <w:pPr>
        <w:pStyle w:val="Normal"/>
        <w:tabs>
          <w:tab w:val="clear" w:pos="225"/>
          <w:tab w:val="left" w:pos="993" w:leader="none"/>
          <w:tab w:val="left" w:pos="1134" w:leader="none"/>
        </w:tabs>
        <w:spacing w:lineRule="auto" w:line="240" w:before="0" w:after="0"/>
        <w:ind w:firstLine="426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 подпрограмме 2 «Обеспечение реализации муниципальной программы и прочие мероприятия в области образования» увеличить финансирование на 270 861,00 руб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ль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 связи с корректировкой средств на выплаты до МРОТ.</w:t>
      </w:r>
    </w:p>
    <w:p>
      <w:pPr>
        <w:pStyle w:val="Normal"/>
        <w:spacing w:lineRule="auto" w:line="240" w:before="285" w:after="285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Муниципальная программа предполагает реализацию мероприятий проекта муниципальной программы «Развитие образования»: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>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                  г. Канска рекомендует: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1" w:header="1134" w:top="1670" w:footer="709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Sylfae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40750365"/>
    </w:sdtPr>
    <w:sdtContent>
      <w:p>
        <w:pPr>
          <w:pStyle w:val="Style25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  <w:p>
    <w:pPr>
      <w:pStyle w:val="Style2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225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Bodytext2">
    <w:name w:val="Body text (2)_"/>
    <w:basedOn w:val="DefaultParagraphFon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2Bold">
    <w:name w:val="Body text (2) + Bold"/>
    <w:basedOn w:val="Bodytext2"/>
    <w:qFormat/>
    <w:rPr>
      <w:b/>
      <w:bCs/>
      <w:color w:val="000000"/>
      <w:spacing w:val="0"/>
      <w:w w:val="100"/>
      <w:lang w:val="ru-RU" w:eastAsia="ru-RU" w:bidi="ru-RU"/>
    </w:rPr>
  </w:style>
  <w:style w:type="character" w:styleId="Bodytext212pt">
    <w:name w:val="Body text (2) + 12 pt"/>
    <w:basedOn w:val="Bodytext2"/>
    <w:qFormat/>
    <w:rPr>
      <w:color w:val="000000"/>
      <w:spacing w:val="0"/>
      <w:w w:val="100"/>
      <w:sz w:val="24"/>
      <w:szCs w:val="24"/>
      <w:lang w:val="ru-RU" w:eastAsia="ru-RU" w:bidi="ru-RU"/>
    </w:rPr>
  </w:style>
  <w:style w:type="character" w:styleId="Bodytext3">
    <w:name w:val="Body text (3)_"/>
    <w:basedOn w:val="DefaultParagraphFont"/>
    <w:qFormat/>
    <w:rPr>
      <w:rFonts w:ascii="Sylfaen" w:hAnsi="Sylfaen" w:eastAsia="Sylfaen" w:cs="Sylfae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3NotBold">
    <w:name w:val="Body text (3) + Not Bold"/>
    <w:basedOn w:val="Bodytext3"/>
    <w:qFormat/>
    <w:rPr>
      <w:b/>
      <w:bCs/>
      <w:color w:val="000000"/>
      <w:spacing w:val="0"/>
      <w:w w:val="100"/>
      <w:lang w:val="ru-RU" w:eastAsia="ru-RU" w:bidi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Bodytext21">
    <w:name w:val="Body text (2)"/>
    <w:basedOn w:val="Normal"/>
    <w:qFormat/>
    <w:pPr>
      <w:widowControl w:val="false"/>
      <w:shd w:val="clear" w:color="auto" w:fill="FFFFFF"/>
      <w:spacing w:lineRule="exact" w:line="301" w:before="240" w:after="0"/>
    </w:pPr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1">
    <w:name w:val="Основной текст1"/>
    <w:basedOn w:val="Normal"/>
    <w:qFormat/>
    <w:pPr>
      <w:shd w:val="clear" w:color="auto" w:fill="FFFFFF"/>
      <w:spacing w:lineRule="atLeast" w:line="240" w:before="360" w:after="300"/>
    </w:pPr>
    <w:rPr>
      <w:sz w:val="27"/>
      <w:szCs w:val="27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glossaryDocument" Target="glossary/document.xml"/><Relationship Id="rId11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27"/>
    <w:rsid w:val="001B1D57"/>
    <w:rsid w:val="005B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D0347BAD3D4338BBE4ED22FB0BA7D2">
    <w:name w:val="2BD0347BAD3D4338BBE4ED22FB0BA7D2"/>
    <w:rsid w:val="005B7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6FFD-3E4C-4C91-9C82-3390C2E7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Application>LibreOffice/6.3.6.2$Windows_x86 LibreOffice_project/2196df99b074d8a661f4036fca8fa0cbfa33a497</Application>
  <Pages>6</Pages>
  <Words>1445</Words>
  <Characters>10808</Characters>
  <CharactersWithSpaces>12445</CharactersWithSpaces>
  <Paragraphs>76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2023-02-14T09:39:08Z</cp:lastPrinted>
  <dcterms:modified xsi:type="dcterms:W3CDTF">2023-02-14T09:46:39Z</dcterms:modified>
  <cp:revision>114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