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Заключение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«О внесении изменений             в постановление администрации города Канска от 12.12.2016 № 1365  «Об утверждении муниципальной программы города Канска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(проект внесен УС и ЖКХ администрации города Канска письмом      от </w:t>
      </w:r>
      <w:r>
        <w:rPr>
          <w:rFonts w:cs="Times New Roman" w:ascii="Times New Roman" w:hAnsi="Times New Roman"/>
          <w:sz w:val="28"/>
          <w:szCs w:val="28"/>
          <w:u w:val="none"/>
        </w:rPr>
        <w:t>22</w:t>
      </w:r>
      <w:r>
        <w:rPr>
          <w:rFonts w:cs="Times New Roman" w:ascii="Times New Roman" w:hAnsi="Times New Roman"/>
          <w:sz w:val="28"/>
          <w:szCs w:val="28"/>
          <w:u w:val="none"/>
        </w:rPr>
        <w:t>.0</w:t>
      </w:r>
      <w:r>
        <w:rPr>
          <w:rFonts w:cs="Times New Roman" w:ascii="Times New Roman" w:hAnsi="Times New Roman"/>
          <w:sz w:val="28"/>
          <w:szCs w:val="28"/>
          <w:u w:val="none"/>
        </w:rPr>
        <w:t>2</w:t>
      </w:r>
      <w:r>
        <w:rPr>
          <w:rFonts w:cs="Times New Roman" w:ascii="Times New Roman" w:hAnsi="Times New Roman"/>
          <w:sz w:val="28"/>
          <w:szCs w:val="28"/>
          <w:u w:val="none"/>
        </w:rPr>
        <w:t>.202</w:t>
      </w:r>
      <w:r>
        <w:rPr>
          <w:rFonts w:cs="Times New Roman" w:ascii="Times New Roman" w:hAnsi="Times New Roman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№ </w:t>
      </w:r>
      <w:r>
        <w:rPr>
          <w:rFonts w:cs="Times New Roman" w:ascii="Times New Roman" w:hAnsi="Times New Roman"/>
          <w:sz w:val="28"/>
          <w:szCs w:val="28"/>
          <w:u w:val="none"/>
        </w:rPr>
        <w:t>ИС-411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)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год.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Цель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  <w:u w:val="none"/>
        </w:rPr>
        <w:t>с «</w:t>
      </w:r>
      <w:r>
        <w:rPr>
          <w:rFonts w:cs="Times New Roman" w:ascii="Times New Roman" w:hAnsi="Times New Roman"/>
          <w:sz w:val="28"/>
          <w:szCs w:val="28"/>
          <w:u w:val="none"/>
        </w:rPr>
        <w:t>2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7» </w:t>
      </w:r>
      <w:r>
        <w:rPr>
          <w:rFonts w:cs="Times New Roman" w:ascii="Times New Roman" w:hAnsi="Times New Roman"/>
          <w:sz w:val="28"/>
          <w:szCs w:val="28"/>
          <w:u w:val="none"/>
        </w:rPr>
        <w:t>февраля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202</w:t>
      </w:r>
      <w:r>
        <w:rPr>
          <w:rFonts w:cs="Times New Roman" w:ascii="Times New Roman" w:hAnsi="Times New Roman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года                                         по «</w:t>
      </w:r>
      <w:r>
        <w:rPr>
          <w:rFonts w:cs="Times New Roman" w:ascii="Times New Roman" w:hAnsi="Times New Roman"/>
          <w:sz w:val="28"/>
          <w:szCs w:val="28"/>
          <w:u w:val="none"/>
        </w:rPr>
        <w:t>2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7» </w:t>
      </w:r>
      <w:r>
        <w:rPr>
          <w:rFonts w:cs="Times New Roman" w:ascii="Times New Roman" w:hAnsi="Times New Roman"/>
          <w:sz w:val="28"/>
          <w:szCs w:val="28"/>
          <w:u w:val="none"/>
        </w:rPr>
        <w:t>февраля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202</w:t>
      </w:r>
      <w:r>
        <w:rPr>
          <w:rFonts w:cs="Times New Roman" w:ascii="Times New Roman" w:hAnsi="Times New Roman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года.  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 </w:t>
      </w:r>
    </w:p>
    <w:p>
      <w:pPr>
        <w:pStyle w:val="ListParagraph"/>
        <w:widowControl/>
        <w:tabs>
          <w:tab w:val="clear" w:pos="720"/>
          <w:tab w:val="left" w:pos="993" w:leader="none"/>
        </w:tabs>
        <w:bidi w:val="0"/>
        <w:spacing w:lineRule="auto" w:line="259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  <w:u w:val="none"/>
        </w:rPr>
        <w:t>22</w:t>
      </w:r>
      <w:r>
        <w:rPr>
          <w:rFonts w:cs="Times New Roman" w:ascii="Times New Roman" w:hAnsi="Times New Roman"/>
          <w:sz w:val="28"/>
          <w:szCs w:val="28"/>
          <w:u w:val="none"/>
        </w:rPr>
        <w:t>.0</w:t>
      </w:r>
      <w:r>
        <w:rPr>
          <w:rFonts w:cs="Times New Roman" w:ascii="Times New Roman" w:hAnsi="Times New Roman"/>
          <w:sz w:val="28"/>
          <w:szCs w:val="28"/>
          <w:u w:val="none"/>
        </w:rPr>
        <w:t>2</w:t>
      </w:r>
      <w:r>
        <w:rPr>
          <w:rFonts w:cs="Times New Roman" w:ascii="Times New Roman" w:hAnsi="Times New Roman"/>
          <w:sz w:val="28"/>
          <w:szCs w:val="28"/>
          <w:u w:val="none"/>
        </w:rPr>
        <w:t>.202</w:t>
      </w:r>
      <w:r>
        <w:rPr>
          <w:rFonts w:cs="Times New Roman" w:ascii="Times New Roman" w:hAnsi="Times New Roman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№ </w:t>
      </w:r>
      <w:r>
        <w:rPr>
          <w:rFonts w:cs="Times New Roman" w:ascii="Times New Roman" w:hAnsi="Times New Roman"/>
          <w:sz w:val="28"/>
          <w:szCs w:val="28"/>
          <w:u w:val="none"/>
        </w:rPr>
        <w:t>ИС-411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Проект муниципальной программы содержит основные направления развития данной сферы, целью программы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              №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1662-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р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Основными задачами для достижения целей являются: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4.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highlight w:val="white"/>
          <w:u w:val="none"/>
        </w:rPr>
      </w:pPr>
      <w:r>
        <w:rPr>
          <w:rFonts w:ascii="Times New Roman" w:hAnsi="Times New Roman"/>
          <w:sz w:val="28"/>
          <w:szCs w:val="28"/>
          <w:highlight w:val="white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структуры и содержание муниципальной программы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 отдельных мероприятий: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•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  <w:lang w:eastAsia="zh-CN"/>
        </w:rPr>
        <w:t>Цель:</w:t>
      </w:r>
      <w:r>
        <w:rPr>
          <w:rFonts w:ascii="Times New Roman" w:hAnsi="Times New Roman"/>
          <w:sz w:val="28"/>
          <w:szCs w:val="28"/>
          <w:u w:val="none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u w:val="none"/>
          <w:lang w:val="ru-RU" w:eastAsia="ru-RU" w:bidi="ar-SA"/>
        </w:rPr>
        <w:t>3.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Задачи:                               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clear" w:pos="720"/>
          <w:tab w:val="left" w:pos="335" w:leader="none"/>
          <w:tab w:val="left" w:pos="498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3. энергосбережение и повышение энергетической эффективности;</w:t>
      </w:r>
    </w:p>
    <w:p>
      <w:pPr>
        <w:pStyle w:val="Normal"/>
        <w:tabs>
          <w:tab w:val="clear" w:pos="720"/>
          <w:tab w:val="left" w:pos="993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4 - «Благоустройство города».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Задачи:                                </w:t>
      </w:r>
    </w:p>
    <w:p>
      <w:pPr>
        <w:pStyle w:val="ConsPlusCell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20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разработка ПСД и строительство сооружений берегоукрепления 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>Анализ ресурсного обеспечения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 xml:space="preserve"> </w:t>
      </w:r>
      <w:r>
        <w:rPr>
          <w:b/>
          <w:sz w:val="28"/>
          <w:szCs w:val="28"/>
          <w:u w:val="none"/>
        </w:rPr>
        <w:t>(анализ структуры управления и финансовые ресурсы)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rFonts w:ascii="Times New Roman" w:hAnsi="Times New Roman"/>
          <w:b/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</w:r>
    </w:p>
    <w:p>
      <w:pPr>
        <w:pStyle w:val="Style21"/>
        <w:ind w:firstLine="708"/>
        <w:rPr>
          <w:rFonts w:ascii="Times New Roman" w:hAnsi="Times New Roman"/>
          <w:sz w:val="28"/>
          <w:szCs w:val="28"/>
          <w:u w:val="none"/>
        </w:rPr>
      </w:pPr>
      <w:r>
        <w:rPr>
          <w:sz w:val="28"/>
          <w:szCs w:val="28"/>
          <w:u w:val="none"/>
        </w:rPr>
        <w:t>В предоставленном проекте муниципальной программы «Городское хозяйство» в новой редакции внесены следующие изменения.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>Увеличить общий объем финансирования муниципальной программы «Городское хозяйство» на 125 276 362,85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, из них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</w:rPr>
        <w:t>2022 год – уточнены бюджетные ассигнования на 31.12.2022 г. путем увеличения финансирования муниципальной программы на сумму 17 678 020,59 руб</w:t>
      </w:r>
      <w:r>
        <w:rPr>
          <w:b w:val="false"/>
          <w:bCs w:val="false"/>
        </w:rPr>
        <w:t>лей,</w:t>
      </w:r>
      <w:r>
        <w:rPr>
          <w:b w:val="false"/>
          <w:bCs w:val="false"/>
        </w:rPr>
        <w:t xml:space="preserve"> в том числе: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</w:rPr>
        <w:t>- за счет средств краевого бюджета на 6 036 700,00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</w:rPr>
        <w:t>- за счет средств городского бюджета на 11 641 320,59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.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 xml:space="preserve">2023 год - </w:t>
      </w:r>
      <w:bookmarkStart w:id="0" w:name="_Hlk105058433"/>
      <w:r>
        <w:rPr>
          <w:b w:val="false"/>
          <w:bCs w:val="false"/>
          <w:szCs w:val="28"/>
        </w:rPr>
        <w:t>общий объем финансирования</w:t>
      </w:r>
      <w:r>
        <w:rPr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b w:val="false"/>
          <w:bCs w:val="false"/>
          <w:szCs w:val="28"/>
        </w:rPr>
        <w:t xml:space="preserve">муниципальной программы </w:t>
      </w:r>
      <w:bookmarkEnd w:id="0"/>
      <w:r>
        <w:rPr>
          <w:b w:val="false"/>
          <w:bCs w:val="false"/>
          <w:szCs w:val="28"/>
        </w:rPr>
        <w:t>увеличился на 107 296 542,26 руб</w:t>
      </w:r>
      <w:r>
        <w:rPr>
          <w:b w:val="false"/>
          <w:bCs w:val="false"/>
          <w:szCs w:val="28"/>
        </w:rPr>
        <w:t>л</w:t>
      </w:r>
      <w:r>
        <w:rPr>
          <w:b w:val="false"/>
          <w:bCs w:val="false"/>
          <w:szCs w:val="28"/>
        </w:rPr>
        <w:t>я</w:t>
      </w:r>
      <w:r>
        <w:rPr>
          <w:b w:val="false"/>
          <w:bCs w:val="false"/>
          <w:szCs w:val="28"/>
        </w:rPr>
        <w:t>, в том числе: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 xml:space="preserve">- </w:t>
      </w:r>
      <w:bookmarkStart w:id="1" w:name="_Hlk98251191"/>
      <w:r>
        <w:rPr>
          <w:b w:val="false"/>
          <w:bCs w:val="false"/>
          <w:szCs w:val="28"/>
        </w:rPr>
        <w:t>за счет средств краевого бюджета</w:t>
      </w:r>
      <w:bookmarkEnd w:id="1"/>
      <w:r>
        <w:rPr>
          <w:b w:val="false"/>
          <w:bCs w:val="false"/>
          <w:szCs w:val="28"/>
        </w:rPr>
        <w:t xml:space="preserve"> на 92 572 407,00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;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- за счет средств городского бюджета на 14 724 135,26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.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 xml:space="preserve"> </w:t>
      </w:r>
      <w:r>
        <w:rPr>
          <w:b w:val="false"/>
          <w:bCs w:val="false"/>
          <w:szCs w:val="28"/>
        </w:rPr>
        <w:t>2024 год - общий объем финансирования муниципальной программы увеличился на 301 800,00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, в том числе: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- за счет средств федерального бюджета на 214 278,00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;</w:t>
      </w:r>
    </w:p>
    <w:p>
      <w:pPr>
        <w:pStyle w:val="Style21"/>
        <w:ind w:firstLine="708"/>
        <w:rPr>
          <w:b w:val="false"/>
          <w:b w:val="false"/>
          <w:bCs w:val="false"/>
        </w:rPr>
      </w:pPr>
      <w:r>
        <w:rPr>
          <w:rFonts w:cs="Times New Roman"/>
          <w:b w:val="false"/>
          <w:bCs w:val="false"/>
          <w:sz w:val="28"/>
          <w:szCs w:val="28"/>
          <w:u w:val="none"/>
        </w:rPr>
        <w:t>- за счет средств краевого бюджета на 87 522,00 руб</w:t>
      </w:r>
      <w:r>
        <w:rPr>
          <w:rFonts w:cs="Times New Roman"/>
          <w:b w:val="false"/>
          <w:bCs w:val="false"/>
          <w:sz w:val="28"/>
          <w:szCs w:val="28"/>
          <w:u w:val="none"/>
        </w:rPr>
        <w:t>л</w:t>
      </w:r>
      <w:r>
        <w:rPr>
          <w:rFonts w:cs="Times New Roman"/>
          <w:b w:val="false"/>
          <w:bCs w:val="false"/>
          <w:sz w:val="28"/>
          <w:szCs w:val="28"/>
          <w:u w:val="none"/>
        </w:rPr>
        <w:t>я</w:t>
      </w:r>
      <w:r>
        <w:rPr>
          <w:rFonts w:cs="Times New Roman"/>
          <w:b w:val="false"/>
          <w:bCs w:val="false"/>
          <w:sz w:val="28"/>
          <w:szCs w:val="28"/>
          <w:u w:val="none"/>
        </w:rPr>
        <w:t>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  <w:u w:val="none"/>
        </w:rPr>
      </w:pPr>
      <w:r>
        <w:rPr>
          <w:rFonts w:cs="Times New Roman" w:ascii="Times New Roman" w:hAnsi="Times New Roman"/>
          <w:bCs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В ходе анализа ресурсного обеспечения установлено: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За 202</w:t>
      </w:r>
      <w:r>
        <w:rPr>
          <w:rFonts w:cs="Times New Roman" w:ascii="Times New Roman" w:hAnsi="Times New Roman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sz w:val="28"/>
          <w:szCs w:val="28"/>
          <w:u w:val="none"/>
        </w:rPr>
        <w:t>-202</w:t>
      </w:r>
      <w:r>
        <w:rPr>
          <w:rFonts w:cs="Times New Roman" w:ascii="Times New Roman" w:hAnsi="Times New Roman"/>
          <w:sz w:val="28"/>
          <w:szCs w:val="28"/>
          <w:u w:val="none"/>
        </w:rPr>
        <w:t>5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годы асс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игнований предусмотрено в сумме 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962 123 473,26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я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</w:rPr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под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программ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а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 1 «Развитие транспортной системы».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городского, федерального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525 775 595,26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 </w:t>
      </w:r>
      <w:bookmarkStart w:id="2" w:name="_GoBack2"/>
      <w:bookmarkEnd w:id="2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(202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3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245 425 497,26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 202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4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39 776 549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,00 рублей, 202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5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— 1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40 576 549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,00 рублей).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2022 год на 7 020 860,41 руб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лей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 (в связи с корректировкой расходов по мероприятиям: «Содержание и обслуживание улично-дорожной сети», «Ремонт (отсыпка) дорог», «Содержание искусственных сооружений на автомобильных дорогах за счет средств муниципального дорожного фонда города Канска», «Проектная документация за счет средств муниципального дорожного фонда города Канска»).</w:t>
      </w:r>
    </w:p>
    <w:p>
      <w:pPr>
        <w:pStyle w:val="Style21"/>
        <w:ind w:firstLine="709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 xml:space="preserve"> </w:t>
      </w:r>
      <w:r>
        <w:rPr>
          <w:b w:val="false"/>
          <w:bCs w:val="false"/>
          <w:szCs w:val="28"/>
        </w:rPr>
        <w:t>2023 год на 94 553 905,26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 xml:space="preserve">, в том числе: </w:t>
      </w:r>
    </w:p>
    <w:p>
      <w:pPr>
        <w:pStyle w:val="Style21"/>
        <w:ind w:firstLine="709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- за счет средств краевого бюджета на 92 552 400,00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;</w:t>
      </w:r>
    </w:p>
    <w:p>
      <w:pPr>
        <w:pStyle w:val="Style21"/>
        <w:ind w:firstLine="709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- за счет средств городского бюджета на 2 001 505,26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2023 год -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single"/>
        </w:rPr>
        <w:t>увеличение по мероприятиям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«</w:t>
      </w:r>
      <w:bookmarkStart w:id="3" w:name="_Hlk127262860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Ремонт (отсыпка) дорог</w:t>
      </w:r>
      <w:bookmarkEnd w:id="3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» - 1 505,26 руб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лей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; «Государственная поддержка муниципальных комплексных проектов развития» - 92 552 400,00 руб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лей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; «Проектная документация за счет средств муниципального дорожного фонда города Канска» - 2 000 000,00 руб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лей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val="000000"/>
          <w:sz w:val="28"/>
          <w:szCs w:val="28"/>
        </w:rPr>
        <w:t>по</w:t>
      </w:r>
      <w:r>
        <w:rPr>
          <w:rFonts w:cs="Times New Roman" w:ascii="Times New Roman" w:hAnsi="Times New Roman"/>
          <w:sz w:val="28"/>
          <w:szCs w:val="28"/>
        </w:rPr>
        <w:t xml:space="preserve">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125 889 800,00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</w:t>
      </w:r>
      <w:bookmarkStart w:id="4" w:name="_GoBack12"/>
      <w:bookmarkEnd w:id="4"/>
      <w:r>
        <w:rPr>
          <w:rFonts w:cs="Times New Roman" w:ascii="Times New Roman" w:hAnsi="Times New Roman"/>
          <w:color w:val="000000"/>
          <w:sz w:val="28"/>
          <w:szCs w:val="28"/>
        </w:rPr>
        <w:t>(202</w:t>
      </w:r>
      <w:r>
        <w:rPr>
          <w:rFonts w:cs="Times New Roman" w:ascii="Times New Roman" w:hAnsi="Times New Roman"/>
          <w:color w:val="000000"/>
          <w:sz w:val="28"/>
          <w:szCs w:val="28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-  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42 436 600,0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</w:t>
      </w:r>
      <w:r>
        <w:rPr>
          <w:rFonts w:cs="Times New Roman" w:ascii="Times New Roman" w:hAnsi="Times New Roman"/>
          <w:color w:val="000000"/>
          <w:sz w:val="28"/>
          <w:szCs w:val="28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202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года 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41 726 600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рублей соответственно).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2022 год уменьшение расходов по подпрограмме 2 «Реформирование и модернизация жилищно-коммунального хозяйства и повышение энергетической эффективности» на 1 252 500,04 руб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лей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 xml:space="preserve"> (в связи с корректировкой расходов по мероприятиям: «Строительство муниципальных объектов 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коммунальной и транспортной инфраструктуры», «Проектная документация»).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на территории города».</w:t>
      </w:r>
    </w:p>
    <w:p>
      <w:pPr>
        <w:pStyle w:val="ListParagraph"/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2022 год увеличение расходов по подпрограмме 3 «Обращение с твердыми бытовыми отходами на территории города» на 4 797 979,80 руб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лей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(в</w:t>
      </w:r>
      <w:r>
        <w:rPr>
          <w:rFonts w:cs="Times New Roman" w:ascii="Times New Roman" w:hAnsi="Times New Roman"/>
          <w:bCs/>
          <w:sz w:val="28"/>
          <w:szCs w:val="28"/>
          <w:lang w:eastAsia="zh-CN"/>
        </w:rPr>
        <w:t xml:space="preserve"> связи с корректировкой расходов по мероприятию: «Обустройство мест (площадок) накопления отходов потребления»).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городского, федерального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184 012 239,00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рублей (202</w:t>
      </w:r>
      <w:r>
        <w:rPr>
          <w:rFonts w:cs="Times New Roman" w:ascii="Times New Roman" w:hAnsi="Times New Roman"/>
          <w:color w:val="000000"/>
          <w:sz w:val="28"/>
          <w:szCs w:val="28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—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78 979 279,00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</w:t>
      </w:r>
      <w:r>
        <w:rPr>
          <w:rFonts w:cs="Times New Roman" w:ascii="Times New Roman" w:hAnsi="Times New Roman"/>
          <w:color w:val="000000"/>
          <w:sz w:val="28"/>
          <w:szCs w:val="28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—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1 817 380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</w:rPr>
        <w:t>, 202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— 5</w:t>
      </w:r>
      <w:r>
        <w:rPr>
          <w:rFonts w:cs="Times New Roman" w:ascii="Times New Roman" w:hAnsi="Times New Roman"/>
          <w:color w:val="000000"/>
          <w:sz w:val="28"/>
          <w:szCs w:val="28"/>
        </w:rPr>
        <w:t>3 215 580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022 год на 4 856 456,29 руб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лей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(в связи с корректировкой расходов по мероприятиям: «Вырубка и обрезка деревьев и кустарников», «Скашивание  травы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и дикорастущих  растений», «Ликвидация несанкционированных свалок»,  «Благоустройство общественных территорий», «Приобретение и обустройство контейнерных площадок», «Разборка (снос) аварийных объектов незавершенного строительства»).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Style21"/>
        <w:ind w:right="-143" w:firstLine="567"/>
        <w:rPr>
          <w:b w:val="false"/>
          <w:b w:val="false"/>
          <w:bCs w:val="false"/>
        </w:rPr>
      </w:pPr>
      <w:r>
        <w:rPr>
          <w:b w:val="false"/>
          <w:bCs w:val="false"/>
        </w:rPr>
        <w:t>2023 год на 8 534 778,00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, в том числе:</w:t>
      </w:r>
      <w:bookmarkStart w:id="5" w:name="_Hlk98245566"/>
      <w:bookmarkStart w:id="6" w:name="_Hlk97279056"/>
    </w:p>
    <w:p>
      <w:pPr>
        <w:pStyle w:val="Style21"/>
        <w:ind w:right="-143" w:firstLine="567"/>
        <w:rPr>
          <w:b w:val="false"/>
          <w:b w:val="false"/>
          <w:bCs w:val="false"/>
        </w:rPr>
      </w:pPr>
      <w:r>
        <w:rPr>
          <w:b w:val="false"/>
          <w:bCs w:val="false"/>
          <w:u w:val="single"/>
        </w:rPr>
        <w:t xml:space="preserve">- увеличение </w:t>
      </w:r>
      <w:bookmarkEnd w:id="5"/>
      <w:r>
        <w:rPr>
          <w:b w:val="false"/>
          <w:bCs w:val="false"/>
          <w:u w:val="single"/>
        </w:rPr>
        <w:t>по мероприятиям</w:t>
      </w:r>
      <w:r>
        <w:rPr>
          <w:b w:val="false"/>
          <w:bCs w:val="false"/>
        </w:rPr>
        <w:t xml:space="preserve"> </w:t>
      </w:r>
      <w:bookmarkStart w:id="7" w:name="_Hlk127263165"/>
      <w:r>
        <w:rPr>
          <w:b w:val="false"/>
          <w:bCs w:val="false"/>
        </w:rPr>
        <w:t>«Мероприятие по организации ритуальных услуг, санитарное и эстетическое содержание кладбищ»</w:t>
      </w:r>
      <w:bookmarkEnd w:id="7"/>
      <w:r>
        <w:rPr>
          <w:b w:val="false"/>
          <w:bCs w:val="false"/>
        </w:rPr>
        <w:t xml:space="preserve"> - 500 000,00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«Содержание контейнерных площадок и контейнерного оборудования» - 600 000,00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«Благоустройство общественных территорий» - 5 000 000,00 руб.;</w:t>
      </w:r>
      <w:bookmarkEnd w:id="6"/>
      <w:r>
        <w:rPr>
          <w:b w:val="false"/>
          <w:bCs w:val="false"/>
        </w:rPr>
        <w:t xml:space="preserve"> «</w:t>
      </w:r>
      <w:bookmarkStart w:id="8" w:name="_Hlk127263806"/>
      <w:r>
        <w:rPr>
          <w:b w:val="false"/>
          <w:bCs w:val="false"/>
        </w:rPr>
        <w:t>Проектная документация</w:t>
      </w:r>
      <w:bookmarkEnd w:id="8"/>
      <w:r>
        <w:rPr>
          <w:b w:val="false"/>
          <w:bCs w:val="false"/>
        </w:rPr>
        <w:t>» - 1 100 000,00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«Уличное освещение» - 7 524 778,00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.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bookmarkStart w:id="9" w:name="_Hlk97282667"/>
      <w:bookmarkEnd w:id="9"/>
      <w:r>
        <w:rPr>
          <w:b w:val="false"/>
          <w:bCs w:val="false"/>
          <w:szCs w:val="28"/>
        </w:rPr>
        <w:t xml:space="preserve">- </w:t>
      </w:r>
      <w:r>
        <w:rPr>
          <w:b w:val="false"/>
          <w:bCs w:val="false"/>
          <w:szCs w:val="28"/>
          <w:u w:val="single"/>
        </w:rPr>
        <w:t>уменьшение по мероприятиям</w:t>
      </w:r>
      <w:r>
        <w:rPr>
          <w:b w:val="false"/>
          <w:bCs w:val="false"/>
          <w:szCs w:val="28"/>
        </w:rPr>
        <w:t xml:space="preserve"> «Организация проведения разборки зданий, надворных построек и многоквартирных домов признанных аварийными, снос сооружений» - 30 000,00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 xml:space="preserve">; </w:t>
      </w:r>
      <w:r>
        <w:rPr>
          <w:b w:val="false"/>
          <w:bCs w:val="false"/>
        </w:rPr>
        <w:t>«Мероприятие по организации ритуальных услуг, санитарное и эстетическое содержание кладбищ» - 2 500 000,00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«Содержание контейнерных площадок и контейнерного оборудования» - 1 000 000,00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«Приобретение контейнерного оборудования» - 1 000 000,00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«Обустройство контейнерных площадок» - 500 000,00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«Скашивание  травы и дикорастущих  растений» - 60 000,00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 «Проектная документация» - 1 100 000,00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 xml:space="preserve">; 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</w:rPr>
        <w:t>2024 год увеличение на мероприятие «Обустройство и восстановление воинских захоронений» - 301 800,00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, в том числе: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</w:rPr>
        <w:t>- за счет средств федерального бюджета - 214 278,00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;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</w:rPr>
        <w:t>- за счет средств краевого бюджета - 87 522,00 руб</w:t>
      </w:r>
      <w:r>
        <w:rPr>
          <w:b w:val="false"/>
          <w:bCs w:val="false"/>
        </w:rPr>
        <w:t>ля</w:t>
      </w:r>
      <w:r>
        <w:rPr>
          <w:b w:val="false"/>
          <w:bCs w:val="false"/>
        </w:rPr>
        <w:t>.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</w:rPr>
        <w:t>Увеличение расходов по отдельному мероприятию 1 «Выполнение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Красноярского края» на 1 023 400,00 руб</w:t>
      </w:r>
      <w:r>
        <w:rPr>
          <w:b w:val="false"/>
          <w:bCs w:val="false"/>
        </w:rPr>
        <w:t>лей</w:t>
      </w:r>
      <w:r>
        <w:rPr>
          <w:b w:val="false"/>
          <w:bCs w:val="false"/>
        </w:rPr>
        <w:t>.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bookmarkStart w:id="10" w:name="_Hlk97282667"/>
      <w:bookmarkEnd w:id="10"/>
      <w:r>
        <w:rPr>
          <w:b w:val="false"/>
          <w:bCs w:val="false"/>
          <w:szCs w:val="28"/>
        </w:rPr>
        <w:t>Увеличение расходов по отдельному мероприятию 2 «Обеспечение системы управления муниципальной программой»: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 xml:space="preserve"> </w:t>
      </w:r>
      <w:r>
        <w:rPr>
          <w:b w:val="false"/>
          <w:bCs w:val="false"/>
          <w:szCs w:val="28"/>
        </w:rPr>
        <w:t>2022 год на 1 231 824,13 руб</w:t>
      </w:r>
      <w:r>
        <w:rPr>
          <w:b w:val="false"/>
          <w:bCs w:val="false"/>
          <w:szCs w:val="28"/>
        </w:rPr>
        <w:t>ля</w:t>
      </w:r>
      <w:r>
        <w:rPr>
          <w:b w:val="false"/>
          <w:bCs w:val="false"/>
          <w:szCs w:val="28"/>
        </w:rPr>
        <w:t>.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 xml:space="preserve"> </w:t>
      </w:r>
      <w:r>
        <w:rPr>
          <w:b w:val="false"/>
          <w:bCs w:val="false"/>
          <w:szCs w:val="28"/>
        </w:rPr>
        <w:t xml:space="preserve">2023 год </w:t>
      </w:r>
      <w:bookmarkStart w:id="11" w:name="_Hlk127264854"/>
      <w:r>
        <w:rPr>
          <w:b w:val="false"/>
          <w:bCs w:val="false"/>
          <w:szCs w:val="28"/>
        </w:rPr>
        <w:t xml:space="preserve">на </w:t>
      </w:r>
      <w:bookmarkEnd w:id="11"/>
      <w:r>
        <w:rPr>
          <w:b w:val="false"/>
          <w:bCs w:val="false"/>
          <w:szCs w:val="28"/>
        </w:rPr>
        <w:t>4 207 859,00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, в том числе: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- за счет средств краевого бюджета на 20 007,00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;</w:t>
      </w:r>
    </w:p>
    <w:p>
      <w:pPr>
        <w:pStyle w:val="Style21"/>
        <w:ind w:right="-143" w:firstLine="709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- за счет средств городского бюджета на 4 187 852,00 руб</w:t>
      </w:r>
      <w:r>
        <w:rPr>
          <w:b w:val="false"/>
          <w:bCs w:val="false"/>
          <w:szCs w:val="28"/>
        </w:rPr>
        <w:t>ля</w:t>
      </w:r>
      <w:r>
        <w:rPr>
          <w:b w:val="false"/>
          <w:bCs w:val="false"/>
          <w:szCs w:val="28"/>
        </w:rPr>
        <w:t>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7"/>
          <w:szCs w:val="27"/>
        </w:rPr>
      </w:pPr>
      <w:r>
        <w:rPr>
          <w:rFonts w:cs="Times New Roman"/>
          <w:b w:val="false"/>
          <w:bCs w:val="false"/>
          <w:i w:val="false"/>
          <w:iCs w:val="false"/>
          <w:sz w:val="28"/>
          <w:szCs w:val="28"/>
        </w:rPr>
        <w:t>По причине изменения бюджетных ассигнований внесены изменения в целевые показатели муниципальной программы с указанием планируемых к достижению значений в результате реализации муниципальной программы и показатели результативности.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228" w:after="228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Утвердить проект программы «Городское хозяйство».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hyperlink r:id="rId2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0" w:header="1134" w:top="1670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tabs>
        <w:tab w:val="left" w:pos="4515" w:leader="none"/>
        <w:tab w:val="center" w:pos="4677" w:leader="none"/>
        <w:tab w:val="right" w:pos="9355" w:leader="none"/>
      </w:tabs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ab/>
      <w:tab/>
    </w:r>
  </w:p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7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bCs w:val="false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false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Style19">
    <w:name w:val="Маркеры списка"/>
    <w:qFormat/>
    <w:rPr>
      <w:rFonts w:ascii="OpenSymbol" w:hAnsi="OpenSymbol" w:eastAsia="OpenSymbol" w:cs="OpenSymbol"/>
      <w:b w:val="false"/>
      <w:bCs w:val="fals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overflowPunct w:val="false"/>
      <w:bidi w:val="0"/>
      <w:spacing w:lineRule="auto" w:line="240" w:before="0" w:after="0"/>
      <w:jc w:val="left"/>
    </w:pPr>
    <w:rPr>
      <w:rFonts w:ascii="Arial" w:hAnsi="Arial" w:eastAsia="Calibri" w:cs="Arial"/>
      <w:color w:val="auto"/>
      <w:kern w:val="0"/>
      <w:sz w:val="2"/>
      <w:szCs w:val="2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Application>LibreOffice/6.3.6.2$Windows_x86 LibreOffice_project/2196df99b074d8a661f4036fca8fa0cbfa33a497</Application>
  <Pages>7</Pages>
  <Words>1795</Words>
  <Characters>12739</Characters>
  <CharactersWithSpaces>14806</CharactersWithSpaces>
  <Paragraphs>107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dcterms:modified xsi:type="dcterms:W3CDTF">2023-02-27T10:44:25Z</dcterms:modified>
  <cp:revision>185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