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993" w:leader="none"/>
        </w:tabs>
        <w:spacing w:lineRule="auto" w:line="240"/>
        <w:ind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</w:rPr>
        <w:t xml:space="preserve">«О внесении изменений             в постановление администрации города Канска от 12.12.2016 № 1365  «Об утверждении муниципальной программы города Канска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УС и ЖКХ администрации города Канска письмом      от18.06.2021 № 323)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«29» июня 2021 года                                         по «29» июня 2021 года.  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 xml:space="preserve"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программа), по результатам которой установлено следующее: 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993" w:leader="none"/>
        </w:tabs>
        <w:bidi w:val="0"/>
        <w:spacing w:lineRule="auto" w:line="259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 xml:space="preserve">«О внесении изменений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12.05.2021 № 221,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программой является, создание условий                   для обеспечения жизнедеятельности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Приоритеты государственной политики в жилищно-коммунальной сфере определены в соответствии с Указом Президента РФ от 07.05.2012                    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                              №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1662-р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(в ред. распоряжения Правительства РФ от 08.08.2009 № 1121-р).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Основными задачами для достижения целей являются: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20"/>
          <w:tab w:val="left" w:pos="736" w:leader="none"/>
          <w:tab w:val="left" w:pos="845" w:leader="none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4. 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«Городское хозяйство» предусматривает реализацию четырех подпрограмм и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трех</w:t>
      </w:r>
      <w:r>
        <w:rPr>
          <w:rFonts w:cs="Times New Roman" w:ascii="Times New Roman" w:hAnsi="Times New Roman"/>
          <w:sz w:val="28"/>
          <w:szCs w:val="28"/>
        </w:rPr>
        <w:t xml:space="preserve">  отдельных мероприятий: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 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/>
      </w:pPr>
      <w:r>
        <w:rPr>
          <w:rFonts w:ascii="Times New Roman" w:hAnsi="Times New Roman"/>
          <w:sz w:val="28"/>
          <w:szCs w:val="28"/>
          <w:lang w:eastAsia="zh-CN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/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>1. обеспечение сохранности, содержания, ремонт, модернизация и развитие сети автомобильных дорог города;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/>
      </w:pPr>
      <w:r>
        <w:rPr>
          <w:rFonts w:ascii="Times New Roman" w:hAnsi="Times New Roman"/>
          <w:sz w:val="28"/>
          <w:szCs w:val="28"/>
        </w:rPr>
        <w:t>2. обеспечение населения услугами общественного транспорта равной доступностью;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outlineLvl w:val="1"/>
        <w:rPr/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3.   обеспечение дорожной безопасности.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2 -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Задачи:                               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Канска;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2. создание условий для безубыточной деятельности организаций коммунального комплекса;</w:t>
      </w:r>
    </w:p>
    <w:p>
      <w:pPr>
        <w:pStyle w:val="Normal"/>
        <w:tabs>
          <w:tab w:val="clear" w:pos="720"/>
          <w:tab w:val="left" w:pos="335" w:leader="none"/>
          <w:tab w:val="left" w:pos="498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3. энергосбережение и повышение энергетической эффективности;</w:t>
      </w:r>
    </w:p>
    <w:p>
      <w:pPr>
        <w:pStyle w:val="Normal"/>
        <w:tabs>
          <w:tab w:val="clear" w:pos="720"/>
          <w:tab w:val="left" w:pos="993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 обеспечение населения города чистой питьевой водой.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spacing w:lineRule="auto" w:line="240" w:before="0" w:after="0"/>
        <w:ind w:left="0" w:right="0" w:firstLine="709"/>
        <w:rPr/>
      </w:pPr>
      <w:r>
        <w:rPr>
          <w:rFonts w:cs="Times New Roman" w:ascii="Times New Roman" w:hAnsi="Times New Roman"/>
          <w:sz w:val="28"/>
          <w:szCs w:val="28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rPr/>
      </w:pPr>
      <w:r>
        <w:rPr>
          <w:rFonts w:cs="Times New Roman" w:ascii="Times New Roman" w:hAnsi="Times New Roman"/>
          <w:sz w:val="28"/>
          <w:szCs w:val="28"/>
        </w:rPr>
        <w:t>Задачи: сбор, обезвреживание и вывоз отходов, информационное обеспечение в области обращения с отходами.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4 - «Благоустройство города».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Цель: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Задачи:                                </w:t>
      </w:r>
    </w:p>
    <w:p>
      <w:pPr>
        <w:pStyle w:val="ConsPlusCell"/>
        <w:ind w:left="0" w:right="0" w:firstLine="709"/>
        <w:rPr/>
      </w:pPr>
      <w:r>
        <w:rPr>
          <w:rFonts w:cs="Times New Roman" w:ascii="Times New Roman" w:hAnsi="Times New Roman"/>
          <w:sz w:val="28"/>
          <w:szCs w:val="28"/>
        </w:rPr>
        <w:t>1. обеспечение уличного освещения улично-дорожной сети города;</w:t>
      </w:r>
    </w:p>
    <w:p>
      <w:pPr>
        <w:pStyle w:val="ConsPlusCel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clear" w:pos="720"/>
          <w:tab w:val="left" w:pos="993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». 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>мероприятие 3 -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Мероприятия в области обеспечения капитального ремонта, реконструкции и строительства гидротехнических сооружений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разработка ПСД и строительство сооружений берегоукрепления  р. Кан для защиты жилой застройки и объектов народного хозяйства от затопления и разрушения.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tabs>
          <w:tab w:val="clear" w:pos="720"/>
          <w:tab w:val="left" w:pos="993" w:leader="none"/>
        </w:tabs>
        <w:spacing w:before="0" w:after="0"/>
        <w:ind w:right="-143" w:firstLine="709"/>
        <w:jc w:val="center"/>
        <w:rPr/>
      </w:pPr>
      <w:r>
        <w:rPr>
          <w:b/>
          <w:szCs w:val="28"/>
        </w:rPr>
        <w:t>Анализ ресурсного обеспечения</w:t>
      </w:r>
    </w:p>
    <w:p>
      <w:pPr>
        <w:pStyle w:val="Style20"/>
        <w:tabs>
          <w:tab w:val="clear" w:pos="720"/>
          <w:tab w:val="left" w:pos="993" w:leader="none"/>
        </w:tabs>
        <w:spacing w:before="0" w:after="0"/>
        <w:ind w:right="-143" w:firstLine="709"/>
        <w:jc w:val="center"/>
        <w:rPr/>
      </w:pPr>
      <w:r>
        <w:rPr>
          <w:b/>
          <w:szCs w:val="28"/>
        </w:rPr>
        <w:t xml:space="preserve"> </w:t>
      </w:r>
      <w:r>
        <w:rPr>
          <w:b/>
          <w:szCs w:val="28"/>
        </w:rPr>
        <w:t>(анализ структуры управления и финансовые ресурсы)</w:t>
      </w:r>
    </w:p>
    <w:p>
      <w:pPr>
        <w:pStyle w:val="Style20"/>
        <w:tabs>
          <w:tab w:val="clear" w:pos="720"/>
          <w:tab w:val="left" w:pos="993" w:leader="none"/>
        </w:tabs>
        <w:spacing w:before="0" w:after="0"/>
        <w:ind w:right="-143" w:firstLine="709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Структура управления программой соответствует поставленным целям и задачам. Ответственным исполнителем и главными распорядителями является УС и ЖКХ администрации города Канска. За 2021-2023 годы ассигнований предусмотрено в сумме 1 003 136 844,22 рубля: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40"/>
          <w:szCs w:val="40"/>
        </w:rPr>
        <w:t>•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«Развитие транспортной системы».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593 485 283,31 рубля </w:t>
      </w:r>
      <w:bookmarkStart w:id="0" w:name="_GoBack2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(2021 -284 318 498,31 рублей, 2022 -               160 238 102,00 рубля, 2023 — 148 928 683,00 рубля).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По данной подпрограмме 1 произошло увеличение расходов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на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114 875 800,00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рублей в том числе:</w:t>
      </w:r>
    </w:p>
    <w:p>
      <w:pPr>
        <w:pStyle w:val="Style20"/>
        <w:ind w:firstLine="708"/>
        <w:rPr/>
      </w:pPr>
      <w:r>
        <w:rPr>
          <w:bCs/>
          <w:szCs w:val="28"/>
        </w:rPr>
        <w:t>- за счет распределения краевых средств согласно уведомлениям Министерства транспорта Красноярского края (119 198 900,00 рублей);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- уменьшение за счет перераспределения с мероприятия «Проектная документация за счет средств муниципального дорожного фонда города Канска»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в сумме -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4 323 100,00 рублей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в том, числе на мероприятие: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   «Технологическое присоединение энергопринимающих устройств» (100 000,00 рублей), «Выполнение работ по устройству и содержанию Новогоднего городка» (1 250 000,00 рублей) подпрограммы 4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«Благоустройство города»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и Отдельное мероприятие 2 «Обеспечение системы управления муниципальной программой»  (2 973 100,00 руб.).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2 -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населения города качественными жилищно-коммунальными услугами в условиях энергосбережения и повышения энергетической эффективности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172 544 256,00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</w:t>
      </w:r>
      <w:bookmarkStart w:id="1" w:name="_GoBack12"/>
      <w:bookmarkEnd w:id="1"/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41 138 956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,00 рублей, 2022 - 68 652 900,00 рублей,  2023 года -                        62 752 400,00 рублей). </w:t>
      </w:r>
    </w:p>
    <w:p>
      <w:pPr>
        <w:pStyle w:val="Normal"/>
        <w:ind w:right="-143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Увеличение расходов по подпрограмме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 в 2022 году на 5 900 500,00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рублей в том числе:</w:t>
      </w:r>
    </w:p>
    <w:p>
      <w:pPr>
        <w:pStyle w:val="Style20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cs="Times New Roman"/>
          <w:b w:val="false"/>
          <w:bCs/>
          <w:color w:val="000000"/>
          <w:sz w:val="28"/>
          <w:szCs w:val="28"/>
        </w:rPr>
        <w:t>- за счет распределения краевых средств согласно уведомления (5 900 500,00 рублей).</w:t>
      </w:r>
    </w:p>
    <w:p>
      <w:pPr>
        <w:pStyle w:val="Style20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cs="Times New Roman"/>
          <w:b w:val="false"/>
          <w:bCs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bookmarkStart w:id="2" w:name="__DdeLink__816_487383883"/>
      <w:r>
        <w:rPr>
          <w:rFonts w:cs="Times New Roman" w:ascii="Times New Roman" w:hAnsi="Times New Roman"/>
          <w:sz w:val="28"/>
          <w:szCs w:val="28"/>
        </w:rPr>
        <w:t>Данная подпрограмма не предусмотрена на 2021 год.</w:t>
      </w:r>
      <w:bookmarkEnd w:id="2"/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4 - «Благоустройство города».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комфортных условий для проживания граждан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145 911 044,91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рубля </w:t>
      </w:r>
      <w:bookmarkStart w:id="3" w:name="_GoBack111"/>
      <w:bookmarkEnd w:id="3"/>
      <w:r>
        <w:rPr>
          <w:rFonts w:cs="Times New Roman" w:ascii="Times New Roman" w:hAnsi="Times New Roman"/>
          <w:color w:val="000000"/>
          <w:sz w:val="28"/>
          <w:szCs w:val="28"/>
        </w:rPr>
        <w:t xml:space="preserve"> (2021-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6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1 065 158,91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2022 -                      44 922 943,00 рубля, 2023 - 39 922 943,00 рубля).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right="-143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 данной подпрограмме  произошло увеличение расходов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 w:val="false"/>
          <w:bCs w:val="false"/>
          <w:sz w:val="28"/>
          <w:szCs w:val="28"/>
        </w:rPr>
        <w:t>928 128,00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рублей в том числе:</w:t>
      </w:r>
    </w:p>
    <w:p>
      <w:pPr>
        <w:pStyle w:val="Style20"/>
        <w:ind w:right="-143" w:firstLine="708"/>
        <w:rPr/>
      </w:pPr>
      <w:r>
        <w:rPr/>
        <w:t xml:space="preserve">   </w:t>
      </w:r>
      <w:r>
        <w:rPr/>
        <w:t>- за счет перераспределения с мероприятия «</w:t>
      </w:r>
      <w:r>
        <w:rPr>
          <w:bCs/>
        </w:rPr>
        <w:t>Проектная документация за счет средств муниципального дорожного фонда города Канска» подпрограммы 1</w:t>
      </w:r>
      <w:r>
        <w:rPr>
          <w:b/>
          <w:bCs/>
        </w:rPr>
        <w:t xml:space="preserve"> </w:t>
      </w:r>
      <w:r>
        <w:rPr/>
        <w:t>«Развитие транспортной системы»</w:t>
      </w:r>
      <w:r>
        <w:rPr>
          <w:bCs/>
        </w:rPr>
        <w:t xml:space="preserve"> на мероприятие </w:t>
      </w:r>
      <w:r>
        <w:rPr>
          <w:bCs/>
          <w:szCs w:val="28"/>
        </w:rPr>
        <w:t>«Технологическое присоединение энергопринимающих устройств» (100 000,00 рублей), «Выполнение работ по устройству и содержанию Новогоднего городка» (1 250 000,00 рублей);</w:t>
      </w:r>
    </w:p>
    <w:p>
      <w:pPr>
        <w:pStyle w:val="Style20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- уменьшение за счет перераспределения с мероприятия «Благоустройство общественных территорий города» (320 000,00 рублей) на </w:t>
      </w:r>
      <w:r>
        <w:rPr>
          <w:rFonts w:cs="Times New Roman"/>
          <w:bCs/>
          <w:color w:val="000000"/>
          <w:sz w:val="28"/>
          <w:szCs w:val="28"/>
        </w:rPr>
        <w:t>Отдельное мероприятие 2 «Обеспечение системы управления муниципальной программой» и на не программные расходы (101 872,00 рубля).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Отдельное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lang w:eastAsia="zh-CN"/>
        </w:rPr>
        <w:t>». С 2021-2023</w:t>
      </w:r>
      <w:r>
        <w:rPr>
          <w:rFonts w:cs="Times New Roman" w:ascii="Times New Roman" w:hAnsi="Times New Roman"/>
          <w:sz w:val="28"/>
          <w:szCs w:val="28"/>
        </w:rPr>
        <w:t xml:space="preserve"> года по 2 157 700,00 рублей ежегодно.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данному мероприятию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изменений по суммам не произошло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>» составляет  в сумме 84 723 160,00 рублей (2021- 30 788 585,00 рублей, 2022 -27 967 285,00 рублей, 2023 - 25 967 290,00 рублей).</w:t>
      </w:r>
    </w:p>
    <w:p>
      <w:pPr>
        <w:pStyle w:val="Normal"/>
        <w:spacing w:before="0" w:after="0"/>
        <w:ind w:right="-143" w:firstLine="708"/>
        <w:jc w:val="both"/>
        <w:rPr/>
      </w:pPr>
      <w:r>
        <w:rPr>
          <w:rFonts w:ascii="Times New Roman" w:hAnsi="Times New Roman"/>
          <w:bCs/>
          <w:sz w:val="28"/>
          <w:szCs w:val="28"/>
        </w:rPr>
        <w:t>По данному мероприятию произошло увеличение расходов</w:t>
      </w:r>
      <w:bookmarkStart w:id="4" w:name="_Hlk21095460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End w:id="4"/>
      <w:r>
        <w:rPr>
          <w:rFonts w:ascii="Times New Roman" w:hAnsi="Times New Roman"/>
          <w:bCs/>
          <w:sz w:val="28"/>
          <w:szCs w:val="28"/>
        </w:rPr>
        <w:t xml:space="preserve">на </w:t>
      </w:r>
      <w:r>
        <w:rPr>
          <w:rFonts w:ascii="Times New Roman" w:hAnsi="Times New Roman"/>
          <w:b w:val="false"/>
          <w:bCs w:val="false"/>
          <w:sz w:val="28"/>
          <w:szCs w:val="28"/>
        </w:rPr>
        <w:t>3 293 100,00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рублей в том числе:</w:t>
      </w:r>
    </w:p>
    <w:p>
      <w:pPr>
        <w:pStyle w:val="Style20"/>
        <w:ind w:right="-143" w:firstLine="708"/>
        <w:rPr/>
      </w:pPr>
      <w:r>
        <w:rPr>
          <w:bCs/>
          <w:szCs w:val="28"/>
        </w:rPr>
        <w:t xml:space="preserve">- </w:t>
      </w:r>
      <w:r>
        <w:rPr/>
        <w:t xml:space="preserve">за счет перераспределения с мероприятия «Благоустройство общественных территорий города» (320 000,00 рублей) </w:t>
      </w:r>
      <w:r>
        <w:rPr>
          <w:bCs/>
        </w:rPr>
        <w:t xml:space="preserve">подпрограммы </w:t>
      </w:r>
      <w:r>
        <w:rPr/>
        <w:t>4 «Благоустройство города»;</w:t>
      </w:r>
    </w:p>
    <w:p>
      <w:pPr>
        <w:pStyle w:val="Style20"/>
        <w:ind w:right="-143" w:firstLine="708"/>
        <w:rPr/>
      </w:pPr>
      <w:r>
        <w:rPr/>
      </w:r>
    </w:p>
    <w:p>
      <w:pPr>
        <w:pStyle w:val="Normal"/>
        <w:spacing w:before="0" w:after="0"/>
        <w:ind w:right="-143" w:firstLine="708"/>
        <w:jc w:val="both"/>
        <w:rPr/>
      </w:pPr>
      <w:r>
        <w:rPr>
          <w:rFonts w:ascii="Times New Roman" w:hAnsi="Times New Roman"/>
          <w:bCs/>
          <w:sz w:val="28"/>
          <w:szCs w:val="28"/>
        </w:rPr>
        <w:t>- за счет перераспределения  с мероприятия «Проектная документация за счет средств муниципального дорожного фонда города Канска» (2 973 100,00 рублей) подпрограммы 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«Развитие транспортной системы».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мероприятие 3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«Мероприятия в области обеспечения капитального ремонта, реконструкции и строительства гидротехнических сооружений»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Данное мероприятие не предусмотрено на 2021 год.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целям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Утвердить проект программы «Городское хозяйство».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/>
      </w:r>
    </w:p>
    <w:sectPr>
      <w:footerReference w:type="default" r:id="rId2"/>
      <w:footerReference w:type="first" r:id="rId3"/>
      <w:type w:val="nextPage"/>
      <w:pgSz w:w="11906" w:h="16838"/>
      <w:pgMar w:left="1701" w:right="850" w:header="0" w:top="1134" w:footer="709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04046713"/>
    </w:sdtPr>
    <w:sdtContent>
      <w:p>
        <w:pPr>
          <w:pStyle w:val="Style26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7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53560062"/>
    </w:sdtPr>
    <w:sdtContent>
      <w:p>
        <w:pPr>
          <w:pStyle w:val="Style26"/>
          <w:tabs>
            <w:tab w:val="left" w:pos="4515" w:leader="none"/>
            <w:tab w:val="center" w:pos="4677" w:leader="none"/>
            <w:tab w:val="right" w:pos="9355" w:leader="none"/>
          </w:tabs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tab/>
          <w:tab/>
        </w:r>
      </w:p>
    </w:sdtContent>
  </w:sdt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 w:customStyle="1">
    <w:name w:val="Основной текст Знак"/>
    <w:basedOn w:val="DefaultParagraphFont"/>
    <w:link w:val="aa"/>
    <w:qFormat/>
    <w:rsid w:val="003b245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link w:val="ab"/>
    <w:unhideWhenUsed/>
    <w:rsid w:val="003b2455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33d0"/>
    <w:pPr>
      <w:spacing w:before="0" w:after="160"/>
      <w:ind w:left="720" w:hanging="0"/>
      <w:contextualSpacing/>
    </w:pPr>
    <w:rPr/>
  </w:style>
  <w:style w:type="paragraph" w:styleId="ConsPlusCell" w:customStyle="1">
    <w:name w:val="ConsPlusCell"/>
    <w:uiPriority w:val="99"/>
    <w:qFormat/>
    <w:rsid w:val="006e5296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"/>
      <w:szCs w:val="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1D9B-4470-4792-BBB0-686FFD21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2536</TotalTime>
  <Application>LibreOffice/6.3.6.2$Windows_x86 LibreOffice_project/2196df99b074d8a661f4036fca8fa0cbfa33a497</Application>
  <Pages>7</Pages>
  <Words>1514</Words>
  <Characters>11003</Characters>
  <CharactersWithSpaces>12923</CharactersWithSpaces>
  <Paragraphs>90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2021-04-28T13:55:00Z</dcterms:created>
  <dc:creator>RePack by Diakov</dc:creator>
  <dc:description/>
  <dc:language>ru-RU</dc:language>
  <cp:lastModifiedBy/>
  <cp:lastPrinted>2021-06-29T14:31:54Z</cp:lastPrinted>
  <dcterms:modified xsi:type="dcterms:W3CDTF">2021-06-30T15:08:14Z</dcterms:modified>
  <cp:revision>152</cp:revision>
  <dc:subject/>
  <dc:title>Распоряжение Правительства РФ от 17.11.2008 N 1662-р(ред. от 28.09.2018)&lt;О Концепции долгосрочного социально-экономического развития Российской Федерации на период до 2020 года&gt;(вместе с "Концепцией долгосрочного социально-экономического развития Российской Федерации на период до 2020 года")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