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Заключение</w:t>
      </w:r>
    </w:p>
    <w:p>
      <w:pPr>
        <w:pStyle w:val="Normal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по результатам финансово-экономической экспертизы проекта постановления администрации города Канска «О внесении изменений     в постановление администрации города Канска от 15.12.2016 № 1396     «Об утверждении муниципальной программы города Канска «Развитие физической культуры, спорта и молодежной политики»</w:t>
      </w:r>
    </w:p>
    <w:p>
      <w:pPr>
        <w:pStyle w:val="Normal"/>
        <w:ind w:firstLine="709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(проект внесен отделом физической культуры, спорта и молодежной политики администрации города Канска письмом от </w:t>
      </w:r>
      <w:r>
        <w:rPr>
          <w:rFonts w:cs="Times New Roman" w:ascii="Times New Roman" w:hAnsi="Times New Roman"/>
          <w:sz w:val="28"/>
          <w:szCs w:val="28"/>
        </w:rPr>
        <w:t>16</w:t>
      </w:r>
      <w:r>
        <w:rPr>
          <w:rFonts w:cs="Times New Roman" w:ascii="Times New Roman" w:hAnsi="Times New Roman"/>
          <w:sz w:val="28"/>
          <w:szCs w:val="28"/>
        </w:rPr>
        <w:t xml:space="preserve">.06.2021 № 96)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1. Основание для проведения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муниципальных образований»,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2021 год.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2. Цель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города Канска «Развитие физической культуры, спорта и молодежной политики».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3. Предмет экспертизы: </w:t>
      </w:r>
      <w:r>
        <w:rPr>
          <w:rFonts w:cs="Times New Roman" w:ascii="Times New Roman" w:hAnsi="Times New Roman"/>
          <w:sz w:val="28"/>
          <w:szCs w:val="28"/>
        </w:rPr>
        <w:t xml:space="preserve">проект постановления администрации города Канска «О внесении изменений в постановление администрации города Канска от 15.12.2016 № 1396 «Об утверждении муниципальной программы города Канска «Развитие физической культуры, спорта и молодежной политики».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4. Срок проведения экспертизы: </w:t>
      </w:r>
      <w:r>
        <w:rPr>
          <w:rFonts w:cs="Times New Roman" w:ascii="Times New Roman" w:hAnsi="Times New Roman"/>
          <w:sz w:val="28"/>
          <w:szCs w:val="28"/>
        </w:rPr>
        <w:t xml:space="preserve">с «17» июня 2021 года                                     по «17» июня 2021 года.  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подготовке Заключения Контрольно-счетной комиссией были использованы следующие документы: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Бюджетный кодекс Российской федерации статья 179;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Постановление администрации города Канска от 22.08.2013 № 1096-п (с внесенными изменениями) «Об утверждении Порядка принятия решений                   о разработке муниципальных программ города Канска, их формировании                        и реализации»;         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соответствии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2021 год, проведена финансово-экономическая экспертиза проекта постановления администрации города Канска «О внесении изменений в постановление администрации города Канска от 15.12.2016 № 1396 «Об утверждении муниципальной программы города Канска «Развитие физической культуры, спорта и молодежной политики» (далее - Проект постановления, муниципальная программа), по результатам которой установлено следующее:</w:t>
      </w:r>
    </w:p>
    <w:p>
      <w:pPr>
        <w:pStyle w:val="Normal"/>
        <w:spacing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 Проект постановления «О внесении изменений в постановление администрации города Канска от 15.12.2016 № 1396 «Об утверждении муниципальной программы города Канска «Развитие физической культуры, спорта и молодежной политики» предоставлен с сопроводительным письмом от 19.04.2021 № 59, согласно постановления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Программа входит в перечень муниципальных программ города Канска установленный постановлением администрации города Канска              от 22.08.2013 № 1095 (с внесенными изменениями) «Об утверждении перечня муниципальных программ города Канска». Разработчиком Программы является отдел физической культуры, спорта и молодежной политики администрации города Канска.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соответствия целей и задач муниципальной программы приоритетам социально-экономического развития города Канска в соответствующей сфере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Проект муниципальной программы содержит основные направления развития данной сферы это: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 Цель программы: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создание условий, обеспечивающих возможность гражданам города Канска систематически заниматься физической культурой и спортом;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>- формирование цельной системы подготовки спортивного резерва;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>- создание условий для развития потенциала молодежи и его реализации в социально-экономическом, общественно-политическом                   и культурном развитии города Канска;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>- повышение качества и эффективности управления в сфере физической культуры, спорта и молодежной политики;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>-содействие формированию условий, способствующего развитию гражданских инициатив, поддержка социально-ориентированных некоммерческих организаций.</w:t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2. Задачи настоящей программы:</w:t>
      </w:r>
    </w:p>
    <w:p>
      <w:pPr>
        <w:pStyle w:val="ConsPlusNormal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>- обеспечение развития массовой физической культуры;</w:t>
      </w:r>
    </w:p>
    <w:p>
      <w:pPr>
        <w:pStyle w:val="ConsPlusNormal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>- обеспечение условий для подготовки спортивного резерва в муниципальных спортивных учреждениях;</w:t>
      </w:r>
    </w:p>
    <w:p>
      <w:pPr>
        <w:pStyle w:val="ConsPlusNormal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>- создание условий успешной социализации и эффективной самореализации молодежи города Канска;</w:t>
      </w:r>
    </w:p>
    <w:p>
      <w:pPr>
        <w:pStyle w:val="ConsPlusNormal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>- создание условий для обеспечения участия социально ориентированных общественных организаций в решении социально значимых вопросов;</w:t>
      </w:r>
    </w:p>
    <w:p>
      <w:pPr>
        <w:pStyle w:val="ConsPlusNormal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>- создание условий для эффективного и ответственного управления финансовыми ресурсами, в рамках выполнения установленных функций и полномочий.</w:t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Ожидаемые конечные результаты программы позволят:</w:t>
      </w:r>
    </w:p>
    <w:p>
      <w:pPr>
        <w:pStyle w:val="1"/>
        <w:tabs>
          <w:tab w:val="clear" w:pos="709"/>
          <w:tab w:val="left" w:pos="0" w:leader="none"/>
        </w:tabs>
        <w:spacing w:before="0" w:after="0"/>
        <w:ind w:firstLine="709"/>
        <w:rPr/>
      </w:pPr>
      <w:r>
        <w:rPr>
          <w:rFonts w:cs="Times New Roman" w:ascii="Times New Roman" w:hAnsi="Times New Roman"/>
          <w:sz w:val="28"/>
          <w:szCs w:val="28"/>
          <w:lang w:eastAsia="ru-RU"/>
        </w:rPr>
        <w:t xml:space="preserve">- </w:t>
      </w:r>
      <w:r>
        <w:rPr>
          <w:rFonts w:cs="Times New Roman" w:ascii="Times New Roman" w:hAnsi="Times New Roman"/>
          <w:sz w:val="28"/>
          <w:szCs w:val="28"/>
        </w:rPr>
        <w:t>увеличить и сохранить долю граждан, систематически занимающихся физической культурой и спортом к общей численности населения города ;</w:t>
      </w:r>
    </w:p>
    <w:p>
      <w:pPr>
        <w:pStyle w:val="1"/>
        <w:tabs>
          <w:tab w:val="clear" w:pos="709"/>
          <w:tab w:val="left" w:pos="0" w:leader="none"/>
        </w:tabs>
        <w:spacing w:before="0" w:after="0"/>
        <w:ind w:firstLine="709"/>
        <w:rPr/>
      </w:pPr>
      <w:r>
        <w:rPr>
          <w:rFonts w:cs="Times New Roman" w:ascii="Times New Roman" w:hAnsi="Times New Roman"/>
          <w:sz w:val="28"/>
          <w:szCs w:val="28"/>
        </w:rPr>
        <w:t>- повысить и сохранить численность занимающихся в муниципальных спортивных   учреждениях;</w:t>
      </w:r>
    </w:p>
    <w:p>
      <w:pPr>
        <w:pStyle w:val="1"/>
        <w:tabs>
          <w:tab w:val="clear" w:pos="709"/>
          <w:tab w:val="left" w:pos="0" w:leader="none"/>
        </w:tabs>
        <w:spacing w:before="0" w:after="0"/>
        <w:ind w:firstLine="709"/>
        <w:rPr/>
      </w:pPr>
      <w:r>
        <w:rPr>
          <w:rFonts w:cs="Times New Roman" w:ascii="Times New Roman" w:hAnsi="Times New Roman"/>
          <w:sz w:val="28"/>
          <w:szCs w:val="28"/>
        </w:rPr>
        <w:t>- увеличить и сохранить количество социально-экономических проектов, реализуемых молодежью города;</w:t>
      </w:r>
    </w:p>
    <w:p>
      <w:pPr>
        <w:pStyle w:val="1"/>
        <w:tabs>
          <w:tab w:val="clear" w:pos="709"/>
          <w:tab w:val="left" w:pos="0" w:leader="none"/>
        </w:tabs>
        <w:spacing w:lineRule="auto" w:line="240" w:before="0" w:after="0"/>
        <w:ind w:firstLine="709"/>
        <w:jc w:val="both"/>
        <w:rPr/>
      </w:pPr>
      <w:bookmarkStart w:id="0" w:name="__DdeLink__4008_1226430553"/>
      <w:r>
        <w:rPr>
          <w:rFonts w:cs="Times New Roman" w:ascii="Times New Roman" w:hAnsi="Times New Roman"/>
          <w:sz w:val="28"/>
          <w:szCs w:val="28"/>
        </w:rPr>
        <w:t>- увеличить и сохранить удельный вес молодых граждан, вовлеченных в реализацию социально-экономических проектов.</w:t>
      </w:r>
      <w:bookmarkEnd w:id="0"/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709" w:hanging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структуры и содержание муниципальной программы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Структура муниципальной программы города Канска «Развитие физической культуры, спорта и молодежной политики» предусматривает реализацию четырех подпрограмм: 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Подпрограмма 1 </w:t>
      </w: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</w:rPr>
        <w:t>«</w:t>
      </w:r>
      <w:r>
        <w:rPr>
          <w:rFonts w:ascii="Times New Roman" w:hAnsi="Times New Roman"/>
          <w:b w:val="false"/>
          <w:bCs w:val="false"/>
          <w:sz w:val="28"/>
          <w:szCs w:val="28"/>
        </w:rPr>
        <w:t>Развитие массовой физической культуры и спорта</w:t>
      </w: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</w:rPr>
        <w:t>»</w:t>
      </w:r>
      <w:r>
        <w:rPr>
          <w:rFonts w:eastAsia="Calibri" w:cs="Times New Roman" w:ascii="Times New Roman" w:hAnsi="Times New Roman"/>
          <w:b w:val="false"/>
          <w:bCs w:val="false"/>
          <w:kern w:val="2"/>
          <w:sz w:val="28"/>
          <w:szCs w:val="28"/>
        </w:rPr>
        <w:t>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 xml:space="preserve">Цель: 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>1.  Обеспечение развития массовой физической культуры.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>2. Обеспечение условий для подготовки спортивного резерва в муниципальных спортивных учреждениях.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 xml:space="preserve">Задачи: 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>1. Обеспечение условий для развития массовой физической культуры и спорта.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>2. Популяризация физической культуры и спорта посредством участия в официальных физкультурных мероприятиях и спортивных мероприятий, согласно календарному плану спортивно-массовых и оздоровительных мероприятий и соревнований с участием спортсменов и команд города Канска.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>3. Выявление и поддержка успешного опыта по организации массовой физкультурно-спортивной работы среди населения.</w:t>
      </w:r>
    </w:p>
    <w:p>
      <w:pPr>
        <w:pStyle w:val="Normal"/>
        <w:tabs>
          <w:tab w:val="clear" w:pos="709"/>
          <w:tab w:val="left" w:pos="0" w:leader="none"/>
          <w:tab w:val="left" w:pos="317" w:leader="none"/>
        </w:tabs>
        <w:spacing w:lineRule="auto" w:line="240" w:before="0" w:after="0"/>
        <w:ind w:left="0" w:firstLine="709"/>
        <w:contextualSpacing/>
        <w:jc w:val="both"/>
        <w:rPr>
          <w:b w:val="false"/>
          <w:b w:val="false"/>
          <w:bCs w:val="false"/>
        </w:rPr>
      </w:pPr>
      <w:r>
        <w:rPr>
          <w:rFonts w:eastAsia="Calibri" w:cs="Times New Roman" w:ascii="Times New Roman" w:hAnsi="Times New Roman"/>
          <w:b w:val="false"/>
          <w:bCs w:val="false"/>
          <w:kern w:val="2"/>
          <w:sz w:val="28"/>
          <w:szCs w:val="28"/>
        </w:rPr>
        <w:t>4. Создание условий для укрепления здоровья и поддержания оптимальных функциональных возможностей обучающихся в спортивных школах.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</w:rPr>
        <w:t>Подпрограмма 2 «</w:t>
      </w:r>
      <w:r>
        <w:rPr>
          <w:rFonts w:ascii="Times New Roman" w:hAnsi="Times New Roman"/>
          <w:b w:val="false"/>
          <w:bCs w:val="false"/>
          <w:sz w:val="28"/>
          <w:szCs w:val="28"/>
        </w:rPr>
        <w:t>Вовлечение молодежи в социальную практику</w:t>
      </w: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</w:rPr>
        <w:t>».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ascii="Times New Roman" w:hAnsi="Times New Roman"/>
          <w:sz w:val="28"/>
          <w:szCs w:val="28"/>
        </w:rPr>
        <w:t>Цель: Создание условий успешной социализации и эффективной самореализации молодежи города Канска.</w:t>
      </w:r>
    </w:p>
    <w:p>
      <w:pPr>
        <w:pStyle w:val="Normal"/>
        <w:tabs>
          <w:tab w:val="clear" w:pos="709"/>
          <w:tab w:val="left" w:pos="317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b w:val="false"/>
          <w:b w:val="false"/>
          <w:bCs w:val="false"/>
        </w:rPr>
      </w:pP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</w:rPr>
        <w:t>Задача: Развитие и совершенствование системы патриотического воспитания, творческого потенциала молодежи через реализацию мероприятий и проектов.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</w:rPr>
        <w:t>Подпрограмма 3 «</w:t>
      </w:r>
      <w:r>
        <w:rPr>
          <w:rFonts w:ascii="Times New Roman" w:hAnsi="Times New Roman"/>
          <w:b w:val="false"/>
          <w:bCs w:val="false"/>
          <w:sz w:val="28"/>
          <w:szCs w:val="28"/>
        </w:rPr>
        <w:t>Обеспечение реализации муниципальной программы и прочие мероприятия</w:t>
      </w: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</w:rPr>
        <w:t>».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>Цель: Повышение качества и эффективности управления в сфере физической культуры, спорта и молодежной политики.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</w:rPr>
        <w:t>Задача: Создание условий для эффективного, ответственного и прозрачного управления финансовыми ресурсами, в рамках выполнения установленных функций и полномочий.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</w:rPr>
        <w:t>Подпрограмма 4 «Поддержка социально-ориентированных некоммерческих организаций города Канска».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Цель: создание условий для обеспечения участия социально ориентированных общественных организаций в решении социально значимых вопросов.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ascii="Times New Roman" w:hAnsi="Times New Roman"/>
          <w:sz w:val="28"/>
          <w:szCs w:val="28"/>
          <w:lang w:eastAsia="ru-RU"/>
        </w:rPr>
        <w:t>Задачи: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ascii="Times New Roman" w:hAnsi="Times New Roman"/>
          <w:sz w:val="28"/>
          <w:szCs w:val="28"/>
          <w:lang w:eastAsia="ru-RU"/>
        </w:rPr>
        <w:t>1. Развитие системы механизмов консультационной, имущественной и организационно-технической поддержки СОНКО путем создания и (или) поддержки муниципального ресурсного центра поддержки общественных инициатив.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2. Предоставление СОНКО на конкурсной основе муниципальных грантов в форме субсидий.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Анализ ресурсного обеспечения </w:t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(анализ структуры управления и финансовые ресурсы)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ходе анализа ресурсного обеспечения установлено: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структура управления программой соответствует поставленным целям и задачам.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Ответственным исполнителем и главным распорядителем является отдел физической культуры, спорта и молодежной политики администрации города Канска.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Финансирование программы предусмотрено за счет средств краевого, федерального и городского бюджетов. Общий объем финансирования  программы на 2021-2023 годы составляет 393 382 941,07 рубль, в том числе за счет средств краевого бюджета в сумме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11 517 535,07</w:t>
      </w:r>
      <w:r>
        <w:rPr>
          <w:rFonts w:cs="Times New Roman" w:ascii="Times New Roman" w:hAnsi="Times New Roman"/>
          <w:sz w:val="28"/>
          <w:szCs w:val="28"/>
        </w:rPr>
        <w:t xml:space="preserve"> рублей, федерального в сумме 7 495 500,00 рублей и городского бюджета                 374 369 906,00 рублей, в том числе в разрезе по подпрограммам: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Подпрограмма 1 </w:t>
      </w:r>
      <w:r>
        <w:rPr>
          <w:rFonts w:eastAsia="Calibri" w:cs="Times New Roman"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Развитие массовой физической культуры и спорта</w:t>
      </w:r>
      <w:r>
        <w:rPr>
          <w:rFonts w:eastAsia="Calibri" w:cs="Times New Roman" w:ascii="Times New Roman" w:hAnsi="Times New Roman"/>
          <w:sz w:val="28"/>
          <w:szCs w:val="28"/>
        </w:rPr>
        <w:t>».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spacing w:lineRule="auto" w:line="240" w:before="0" w:after="0"/>
        <w:ind w:firstLine="709"/>
        <w:jc w:val="both"/>
        <w:rPr/>
      </w:pPr>
      <w:r>
        <w:rPr>
          <w:rFonts w:eastAsia="Times New Roman" w:ascii="Times New Roman" w:hAnsi="Times New Roman"/>
          <w:sz w:val="28"/>
          <w:szCs w:val="28"/>
          <w:lang w:eastAsia="ru-RU"/>
        </w:rPr>
        <w:t>К приоритетным направлениям реализации подпрограммы 1 в сфере «Развитие массовой физической культуры и спорта» относятся: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spacing w:lineRule="auto" w:line="240" w:before="0" w:after="0"/>
        <w:ind w:firstLine="709"/>
        <w:jc w:val="both"/>
        <w:rPr/>
      </w:pPr>
      <w:r>
        <w:rPr>
          <w:rFonts w:eastAsia="Times New Roman" w:ascii="Times New Roman" w:hAnsi="Times New Roman"/>
          <w:sz w:val="28"/>
          <w:szCs w:val="28"/>
          <w:lang w:eastAsia="ru-RU"/>
        </w:rPr>
        <w:t>- формирование здорового образа жизни через развитие массовой физической культуры и спорта;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 развитие детского-юношеского спорта.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Данная подпрограмма предусматривает средства федерального,  краевого и городского бюджетов </w:t>
      </w:r>
      <w:r>
        <w:rPr>
          <w:rFonts w:cs="Times New Roman" w:ascii="Times New Roman" w:hAnsi="Times New Roman"/>
          <w:sz w:val="28"/>
          <w:szCs w:val="28"/>
        </w:rPr>
        <w:t xml:space="preserve">в сумме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239 495 731,00</w:t>
      </w:r>
      <w:r>
        <w:rPr>
          <w:rFonts w:cs="Times New Roman" w:ascii="Times New Roman" w:hAnsi="Times New Roman"/>
          <w:sz w:val="28"/>
          <w:szCs w:val="28"/>
        </w:rPr>
        <w:t xml:space="preserve"> рубль                       (в 2021 -  91 055 676,00 рублей, 2022 - 78 441 646,00 рублей, 2023                     - 69 998 409,00 рублей).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Увеличение ассигнований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на 4 653 500,00 рублей,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которое произошло в связи с получением субсидий из краевого бюджета:</w:t>
      </w:r>
    </w:p>
    <w:p>
      <w:pPr>
        <w:pStyle w:val="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- 778 200,00 рублей – субсидия бюджетам муниципальных образований на развитие детско-юношеского спорта;</w:t>
      </w:r>
    </w:p>
    <w:p>
      <w:pPr>
        <w:pStyle w:val="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- 3 375 300,00 рублей -  субсидия бюджетам муниципальных образований на выполнение требований федеральных стандартов;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- 500 000,00 рублей - субсидия бюджетам муниципальных образований на поддержку физкультурно-спортивных клубов по месту жительства.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Подпрограмма</w:t>
      </w:r>
      <w:r>
        <w:rPr/>
        <w:t xml:space="preserve"> </w:t>
      </w:r>
      <w:hyperlink r:id="rId2">
        <w:r>
          <w:rPr>
            <w:rStyle w:val="Style17"/>
            <w:rFonts w:cs="Times New Roman" w:ascii="Times New Roman" w:hAnsi="Times New Roman"/>
            <w:sz w:val="28"/>
            <w:szCs w:val="28"/>
            <w:u w:val="none"/>
          </w:rPr>
          <w:t>2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Вовлечение молодежи в социальную практику</w:t>
      </w:r>
      <w:r>
        <w:rPr>
          <w:rFonts w:eastAsia="Calibri" w:cs="Times New Roman" w:ascii="Times New Roman" w:hAnsi="Times New Roman"/>
          <w:sz w:val="28"/>
          <w:szCs w:val="28"/>
        </w:rPr>
        <w:t>».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spacing w:lineRule="auto" w:line="240" w:before="0" w:after="0"/>
        <w:ind w:firstLine="709"/>
        <w:contextualSpacing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>К приоритетным направлениям реализации муниципальной программы в сфере молодежной политики относится повышение гражданской активности молодежи в решении социально-экономических задач развития города.</w:t>
      </w:r>
    </w:p>
    <w:p>
      <w:pPr>
        <w:pStyle w:val="ListParagraph"/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Данная подпрограмма предусматривает средства городского и краевого бюджетов </w:t>
      </w:r>
      <w:r>
        <w:rPr>
          <w:rFonts w:cs="Times New Roman" w:ascii="Times New Roman" w:hAnsi="Times New Roman"/>
          <w:sz w:val="28"/>
          <w:szCs w:val="28"/>
        </w:rPr>
        <w:t>в сумме 61 685 495,75 рублей (в 2021 - 22 859 887,75 рублей, 2022 - 19 463 234,00 рубля и в 2023 - 19 362 374,00 рубля).  Увеличились ассигнования в 2021 году на 415 040,00 рубля.</w:t>
      </w:r>
    </w:p>
    <w:p>
      <w:pPr>
        <w:pStyle w:val="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связи с перераспределением лимитов между подведомственными учреждениями увеличилось финансирование из городского бюджета по Подпрограмме «Вовлечение молодежи в социальную практику» на             415 040,00 рублей, но уменьшилось на эту же сумму по Подпрограмме «Развитие массовой физической культуры и спорта».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>Подпрограмма 3 «</w:t>
      </w:r>
      <w:r>
        <w:rPr>
          <w:rFonts w:ascii="Times New Roman" w:hAnsi="Times New Roman"/>
          <w:sz w:val="28"/>
          <w:szCs w:val="28"/>
        </w:rPr>
        <w:t>Обеспечение реализации муниципальной программы и прочие мероприятия</w:t>
      </w:r>
      <w:r>
        <w:rPr>
          <w:rFonts w:eastAsia="Calibri" w:cs="Times New Roman" w:ascii="Times New Roman" w:hAnsi="Times New Roman"/>
          <w:sz w:val="28"/>
          <w:szCs w:val="28"/>
        </w:rPr>
        <w:t>».</w:t>
      </w:r>
    </w:p>
    <w:p>
      <w:pPr>
        <w:pStyle w:val="Normal"/>
        <w:tabs>
          <w:tab w:val="clear" w:pos="709"/>
          <w:tab w:val="left" w:pos="284" w:leader="none"/>
        </w:tabs>
        <w:spacing w:before="0" w:after="0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>Расходы данной подпрограммы предусматриваются на следующие приоритетные направления:</w:t>
      </w:r>
    </w:p>
    <w:p>
      <w:pPr>
        <w:pStyle w:val="Normal"/>
        <w:tabs>
          <w:tab w:val="clear" w:pos="709"/>
          <w:tab w:val="left" w:pos="284" w:leader="none"/>
        </w:tabs>
        <w:spacing w:before="0" w:after="0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>- мероприятия по повышению эффективности бюджетных расходов, направленных на повышение качества финансового управления, а также внедрения современных методик и технологий планирования и контроля исполнения бюджета;</w:t>
      </w:r>
    </w:p>
    <w:p>
      <w:pPr>
        <w:pStyle w:val="Normal"/>
        <w:tabs>
          <w:tab w:val="clear" w:pos="709"/>
          <w:tab w:val="left" w:pos="284" w:leader="none"/>
        </w:tabs>
        <w:spacing w:before="0" w:after="0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>- мероприятия по управлению кадровыми ресурсами, включая проведение мероприятий по оптимальному уровню укомплектованности штатной численности работников сферы физической культуры, спорта и молодежной политики, организацию профессиональной подготовки работников, их переподготовку, повышение квалификации и стажировку;</w:t>
      </w:r>
    </w:p>
    <w:p>
      <w:pPr>
        <w:pStyle w:val="Normal"/>
        <w:tabs>
          <w:tab w:val="clear" w:pos="709"/>
          <w:tab w:val="left" w:pos="284" w:leader="none"/>
        </w:tabs>
        <w:spacing w:before="0" w:after="0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>- мероприятия по сбору и обработке данных официального статистического наблюдения и мониторинг состояния сферы физической культуры, спорта и молодежной политики;</w:t>
      </w:r>
    </w:p>
    <w:p>
      <w:pPr>
        <w:pStyle w:val="Normal"/>
        <w:tabs>
          <w:tab w:val="clear" w:pos="709"/>
          <w:tab w:val="left" w:pos="284" w:leader="none"/>
        </w:tabs>
        <w:spacing w:lineRule="auto" w:line="240" w:before="0" w:after="0"/>
        <w:ind w:firstLine="709"/>
        <w:contextualSpacing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>- мероприятия по проведению экономического анализа деятельности подведомственных бюджетных учреждений и утверждения экономических показателей их деятельности, а также проверки в подведомственных учреждениях финансово-хозяйственной деятельности и использования имущественного комплекса.</w:t>
      </w:r>
    </w:p>
    <w:p>
      <w:pPr>
        <w:pStyle w:val="ListParagraph"/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>Данная подпрограмма предусматривает средства городского бюджета</w:t>
      </w:r>
      <w:r>
        <w:rPr>
          <w:rFonts w:eastAsia="Calibri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в сумме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91 197 121</w:t>
      </w:r>
      <w:r>
        <w:rPr>
          <w:rFonts w:cs="Times New Roman" w:ascii="Times New Roman" w:hAnsi="Times New Roman"/>
          <w:sz w:val="28"/>
          <w:szCs w:val="28"/>
        </w:rPr>
        <w:t xml:space="preserve">,00 рубль (в 2021 - 30 891 925,00 рублей, 2022 -                      30 222 767,00 рублей и в 2023 - 30 082 429,00 рублей).  </w:t>
      </w:r>
    </w:p>
    <w:p>
      <w:pPr>
        <w:pStyle w:val="ListParagraph"/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По данной подпрограмме изменений не произошло.</w:t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b w:val="false"/>
          <w:b w:val="false"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>Подпрограмма 4 «</w:t>
      </w:r>
      <w:r>
        <w:rPr>
          <w:rFonts w:cs="Times New Roman" w:ascii="Times New Roman" w:hAnsi="Times New Roman"/>
          <w:sz w:val="28"/>
          <w:szCs w:val="28"/>
        </w:rPr>
        <w:t>Поддержка социально-ориентированных некоммерческих организаций города Канска</w:t>
      </w:r>
      <w:r>
        <w:rPr>
          <w:rFonts w:eastAsia="Calibri" w:cs="Times New Roman" w:ascii="Times New Roman" w:hAnsi="Times New Roman"/>
          <w:sz w:val="28"/>
          <w:szCs w:val="28"/>
        </w:rPr>
        <w:t>».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spacing w:lineRule="auto" w:line="240" w:before="0" w:after="0"/>
        <w:ind w:firstLine="709"/>
        <w:jc w:val="both"/>
        <w:rPr/>
      </w:pPr>
      <w:r>
        <w:rPr>
          <w:rFonts w:eastAsia="Times New Roman" w:ascii="Times New Roman" w:hAnsi="Times New Roman"/>
          <w:sz w:val="28"/>
          <w:szCs w:val="28"/>
          <w:lang w:eastAsia="ru-RU"/>
        </w:rPr>
        <w:t>К приоритетным направлениям реализации 4 подпрограммы в сфере п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оддержки социально-ориентированных некоммерческих организаций города Канска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относится: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spacing w:lineRule="auto" w:line="240" w:before="0" w:after="0"/>
        <w:ind w:firstLine="709"/>
        <w:jc w:val="both"/>
        <w:rPr/>
      </w:pPr>
      <w:r>
        <w:rPr>
          <w:rFonts w:eastAsia="Times New Roman" w:ascii="Times New Roman" w:hAnsi="Times New Roman"/>
          <w:sz w:val="28"/>
          <w:szCs w:val="28"/>
          <w:lang w:eastAsia="ru-RU"/>
        </w:rPr>
        <w:t>- реализация муниципальной программы, поддержки социально-ориентированных некоммерческих организаций на конкурсной основе;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финансирование, создание и обеспечение деятельности муниципальных ресурсных центров поддержки общественных инициатив.</w:t>
      </w:r>
    </w:p>
    <w:p>
      <w:pPr>
        <w:pStyle w:val="ListParagraph"/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>Данная подпрограмма предусматривает средства городского и краевого бюджетов</w:t>
      </w:r>
      <w:r>
        <w:rPr>
          <w:rFonts w:eastAsia="Calibri" w:cs="Times New Roman" w:ascii="Times New Roman" w:hAnsi="Times New Roman"/>
          <w:sz w:val="28"/>
          <w:szCs w:val="28"/>
        </w:rPr>
        <w:t xml:space="preserve"> на очередной финансовый год и плановый период </w:t>
      </w:r>
      <w:r>
        <w:rPr>
          <w:rFonts w:cs="Times New Roman" w:ascii="Times New Roman" w:hAnsi="Times New Roman"/>
          <w:sz w:val="28"/>
          <w:szCs w:val="28"/>
        </w:rPr>
        <w:t xml:space="preserve">в сумме               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1 004 593,32</w:t>
      </w:r>
      <w:r>
        <w:rPr>
          <w:rFonts w:cs="Times New Roman" w:ascii="Times New Roman" w:hAnsi="Times New Roman"/>
          <w:sz w:val="28"/>
          <w:szCs w:val="28"/>
        </w:rPr>
        <w:t xml:space="preserve"> рубля (2021 год — 804 593,32 рубля и 2022-2023 ежегодно по 100 000,00 рублей). По данной подпрограмме изменений не произошло.</w:t>
      </w:r>
    </w:p>
    <w:p>
      <w:pPr>
        <w:pStyle w:val="ListParagraph"/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Выводы и предложения по результатам проведенной экспертизы</w:t>
      </w:r>
    </w:p>
    <w:p>
      <w:pPr>
        <w:pStyle w:val="Normal"/>
        <w:spacing w:lineRule="auto" w:line="240" w:before="0" w:after="0"/>
        <w:ind w:hanging="0"/>
        <w:jc w:val="center"/>
        <w:rPr>
          <w:rFonts w:ascii="Times New Roman" w:hAnsi="Times New Roman" w:cs="Times New Roman"/>
          <w:b w:val="false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spacing w:before="0" w:after="0"/>
        <w:ind w:firstLine="72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Муниципальная программа предполагает своевременную и в полном объеме реализацию мероприятий проекта муниципальной программы «Развитие физической культуры, спорта и молодежной политики»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основании вышеизложенного Контрольно-счетная комиссия рекомендует:</w:t>
      </w:r>
    </w:p>
    <w:p>
      <w:pPr>
        <w:pStyle w:val="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Утвердить проект программы «О внесении изменений                                              в постановление администрации города Канска от 15.12.2016 № 1396 «Об утверждении муниципальной программы города Канска «Развитие физической культуры, спорта и молодежной политики».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Председатель Контрольно-счетной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комиссии города Канска                                                             Е.В. Парфенова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sectPr>
      <w:headerReference w:type="default" r:id="rId3"/>
      <w:type w:val="nextPage"/>
      <w:pgSz w:w="11906" w:h="16838"/>
      <w:pgMar w:left="1701" w:right="851" w:header="709" w:top="1134" w:footer="0" w:bottom="1077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746214914"/>
    </w:sdtPr>
    <w:sdtContent>
      <w:p>
        <w:pPr>
          <w:pStyle w:val="Style25"/>
          <w:jc w:val="center"/>
          <w:rPr/>
        </w:pPr>
        <w:r>
          <w:rPr>
            <w:rFonts w:cs="Times New Roman" w:ascii="Times New Roman" w:hAnsi="Times New Roman"/>
          </w:rPr>
          <w:fldChar w:fldCharType="begin"/>
        </w:r>
        <w:r>
          <w:rPr>
            <w:rFonts w:cs="Times New Roman" w:ascii="Times New Roman" w:hAnsi="Times New Roman"/>
          </w:rPr>
          <w:instrText> PAGE </w:instrText>
        </w:r>
        <w:r>
          <w:rPr>
            <w:rFonts w:cs="Times New Roman" w:ascii="Times New Roman" w:hAnsi="Times New Roman"/>
          </w:rPr>
          <w:fldChar w:fldCharType="separate"/>
        </w:r>
        <w:r>
          <w:rPr>
            <w:rFonts w:cs="Times New Roman" w:ascii="Times New Roman" w:hAnsi="Times New Roman"/>
          </w:rPr>
          <w:t>6</w:t>
        </w:r>
        <w:r>
          <w:rPr>
            <w:rFonts w:cs="Times New Roman" w:ascii="Times New Roman" w:hAnsi="Times New Roman"/>
          </w:rPr>
          <w:fldChar w:fldCharType="end"/>
        </w:r>
      </w:p>
    </w:sdtContent>
  </w:sdt>
  <w:p>
    <w:pPr>
      <w:pStyle w:val="Style25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"/>
      <w:lvlJc w:val="left"/>
      <w:pPr>
        <w:ind w:left="7023" w:hanging="360"/>
      </w:pPr>
      <w:rPr>
        <w:rFonts w:ascii="Wingdings" w:hAnsi="Wingdings" w:cs="Wingdings" w:hint="default"/>
        <w:sz w:val="22"/>
        <w:b w:val="false"/>
        <w:szCs w:val="22"/>
        <w:bCs w:val="false"/>
        <w:rFonts w:cs="Open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2"/>
        <w:b w:val="false"/>
        <w:szCs w:val="22"/>
        <w:bCs w:val="false"/>
        <w:rFonts w:cs="OpenSymbol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22"/>
        <w:b w:val="false"/>
        <w:szCs w:val="22"/>
        <w:bCs w:val="false"/>
        <w:rFonts w:cs="OpenSymbol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2"/>
        <w:b w:val="false"/>
        <w:szCs w:val="22"/>
        <w:bCs w:val="false"/>
        <w:rFonts w:cs="OpenSymbol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2"/>
        <w:b w:val="false"/>
        <w:szCs w:val="22"/>
        <w:bCs w:val="false"/>
        <w:rFonts w:cs="OpenSymbol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2"/>
        <w:b w:val="false"/>
        <w:szCs w:val="22"/>
        <w:bCs w:val="false"/>
        <w:rFonts w:cs="OpenSymbol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2"/>
        <w:b w:val="false"/>
        <w:szCs w:val="22"/>
        <w:bCs w:val="false"/>
        <w:rFonts w:cs="OpenSymbol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2"/>
        <w:b w:val="false"/>
        <w:szCs w:val="22"/>
        <w:bCs w:val="false"/>
        <w:rFonts w:cs="OpenSymbol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2"/>
        <w:b w:val="false"/>
        <w:szCs w:val="22"/>
        <w:bCs w:val="false"/>
        <w:rFonts w:cs="OpenSymbol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2"/>
        <w:b w:val="false"/>
        <w:szCs w:val="22"/>
        <w:bCs w:val="false"/>
        <w:rFonts w:cs="OpenSymbol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c53c6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a03576"/>
    <w:rPr/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a03576"/>
    <w:rPr/>
  </w:style>
  <w:style w:type="character" w:styleId="Style16" w:customStyle="1">
    <w:name w:val="Текст выноски Знак"/>
    <w:basedOn w:val="DefaultParagraphFont"/>
    <w:link w:val="a7"/>
    <w:uiPriority w:val="99"/>
    <w:semiHidden/>
    <w:qFormat/>
    <w:rsid w:val="003440bf"/>
    <w:rPr>
      <w:rFonts w:ascii="Segoe UI" w:hAnsi="Segoe UI" w:cs="Segoe UI"/>
      <w:sz w:val="18"/>
      <w:szCs w:val="18"/>
    </w:rPr>
  </w:style>
  <w:style w:type="character" w:styleId="Style17">
    <w:name w:val="Интернет-ссылка"/>
    <w:basedOn w:val="DefaultParagraphFont"/>
    <w:uiPriority w:val="99"/>
    <w:semiHidden/>
    <w:rsid w:val="002220d6"/>
    <w:rPr>
      <w:color w:val="auto"/>
      <w:u w:val="single"/>
    </w:rPr>
  </w:style>
  <w:style w:type="character" w:styleId="Style18">
    <w:name w:val="Маркеры списка"/>
    <w:qFormat/>
    <w:rPr>
      <w:rFonts w:ascii="OpenSymbol" w:hAnsi="OpenSymbol" w:eastAsia="OpenSymbol" w:cs="OpenSymbol"/>
      <w:b w:val="false"/>
      <w:bCs w:val="false"/>
      <w:sz w:val="22"/>
      <w:szCs w:val="22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Ari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</w:rPr>
  </w:style>
  <w:style w:type="paragraph" w:styleId="Style24">
    <w:name w:val="Верхний и нижний колонтитулы"/>
    <w:basedOn w:val="Normal"/>
    <w:qFormat/>
    <w:pPr/>
    <w:rPr/>
  </w:style>
  <w:style w:type="paragraph" w:styleId="Style25">
    <w:name w:val="Header"/>
    <w:basedOn w:val="Normal"/>
    <w:link w:val="a4"/>
    <w:uiPriority w:val="99"/>
    <w:unhideWhenUsed/>
    <w:rsid w:val="00a03576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6">
    <w:name w:val="Footer"/>
    <w:basedOn w:val="Normal"/>
    <w:link w:val="a6"/>
    <w:uiPriority w:val="99"/>
    <w:unhideWhenUsed/>
    <w:rsid w:val="00a03576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3440b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rsid w:val="002220d6"/>
    <w:pPr>
      <w:widowControl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18"/>
      <w:szCs w:val="18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6d0d14"/>
    <w:pPr>
      <w:spacing w:before="0" w:after="160"/>
      <w:ind w:left="720" w:hanging="0"/>
      <w:contextualSpacing/>
    </w:pPr>
    <w:rPr/>
  </w:style>
  <w:style w:type="paragraph" w:styleId="1">
    <w:name w:val="Текст1"/>
    <w:basedOn w:val="Normal"/>
    <w:qFormat/>
    <w:pPr>
      <w:suppressAutoHyphens w:val="true"/>
      <w:jc w:val="both"/>
    </w:pPr>
    <w:rPr>
      <w:rFonts w:ascii="Courier New" w:hAnsi="Courier New" w:cs="Courier New"/>
      <w:sz w:val="20"/>
      <w:szCs w:val="20"/>
      <w:lang w:eastAsia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2" TargetMode="External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1C67D-4B62-415A-B9C6-40339C07C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1433</TotalTime>
  <Application>LibreOffice/6.3.6.2$Windows_x86 LibreOffice_project/2196df99b074d8a661f4036fca8fa0cbfa33a497</Application>
  <Pages>6</Pages>
  <Words>1528</Words>
  <Characters>11279</Characters>
  <CharactersWithSpaces>13073</CharactersWithSpaces>
  <Paragraphs>94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2017-11-03T01:28:00Z</dcterms:created>
  <dc:creator>RePack by Diakov</dc:creator>
  <dc:description/>
  <dc:language>ru-RU</dc:language>
  <cp:lastModifiedBy/>
  <cp:lastPrinted>2021-06-18T14:10:07Z</cp:lastPrinted>
  <dcterms:modified xsi:type="dcterms:W3CDTF">2021-06-18T14:10:28Z</dcterms:modified>
  <cp:revision>141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