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</w:rPr>
        <w:t xml:space="preserve">«О внесении изменений             в постановление администрации города Канска от 12.12.2016 № 1365  «Об утверждении муниципальной программы города Канска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«Городское хозяйство»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(проект внесен УС и ЖКХ администрации города Канска письмом      от 0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.2021 № </w:t>
      </w:r>
      <w:r>
        <w:rPr>
          <w:rFonts w:cs="Times New Roman" w:ascii="Times New Roman" w:hAnsi="Times New Roman"/>
          <w:sz w:val="28"/>
          <w:szCs w:val="28"/>
        </w:rPr>
        <w:t>784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13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дека</w:t>
      </w:r>
      <w:r>
        <w:rPr>
          <w:rFonts w:cs="Times New Roman" w:ascii="Times New Roman" w:hAnsi="Times New Roman"/>
          <w:sz w:val="28"/>
          <w:szCs w:val="28"/>
        </w:rPr>
        <w:t>бря 2021 года                                         по «</w:t>
      </w:r>
      <w:r>
        <w:rPr>
          <w:rFonts w:cs="Times New Roman" w:ascii="Times New Roman" w:hAnsi="Times New Roman"/>
          <w:sz w:val="28"/>
          <w:szCs w:val="28"/>
        </w:rPr>
        <w:t>13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дека</w:t>
      </w:r>
      <w:r>
        <w:rPr>
          <w:rFonts w:cs="Times New Roman" w:ascii="Times New Roman" w:hAnsi="Times New Roman"/>
          <w:sz w:val="28"/>
          <w:szCs w:val="28"/>
        </w:rPr>
        <w:t xml:space="preserve">бря 2021 года.  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о разработке муниципальных программ города Канска, их формировании                     и реализации»;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     (с внесенными изменениями) «Об утверждении перечня муниципальных программ города Канска».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год, проведена финансово-экономическая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 xml:space="preserve"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 (далее - Проект постановления, муниципальная программа), по результатам которой установлено следующее: </w:t>
      </w:r>
    </w:p>
    <w:p>
      <w:pPr>
        <w:pStyle w:val="ListParagraph"/>
        <w:widowControl/>
        <w:tabs>
          <w:tab w:val="clear" w:pos="720"/>
          <w:tab w:val="left" w:pos="993" w:leader="none"/>
        </w:tabs>
        <w:bidi w:val="0"/>
        <w:spacing w:lineRule="auto" w:line="259" w:before="0" w:after="0"/>
        <w:ind w:left="0" w:righ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1. Проект </w:t>
      </w:r>
      <w:r>
        <w:rPr>
          <w:rFonts w:cs="Times New Roman" w:ascii="Times New Roman" w:hAnsi="Times New Roman"/>
          <w:bCs/>
          <w:sz w:val="28"/>
          <w:szCs w:val="28"/>
        </w:rPr>
        <w:t xml:space="preserve">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в постановление администрации города Канска от 12.12.2016 №1365 «Об утверждении муниципальной программы города Канска «Городское хозяйство» предоставлен с сопроводительным письмом от 0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.2021 № </w:t>
      </w:r>
      <w:r>
        <w:rPr>
          <w:rFonts w:cs="Times New Roman" w:ascii="Times New Roman" w:hAnsi="Times New Roman"/>
          <w:sz w:val="28"/>
          <w:szCs w:val="28"/>
        </w:rPr>
        <w:t>784</w:t>
      </w:r>
      <w:r>
        <w:rPr>
          <w:rFonts w:cs="Times New Roman" w:ascii="Times New Roman" w:hAnsi="Times New Roman"/>
          <w:sz w:val="28"/>
          <w:szCs w:val="28"/>
        </w:rPr>
        <w:t xml:space="preserve">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программой является, создание условий                   для обеспечения жизнедеятельности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16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Приоритеты государственной политики в жилищно-коммунальной сфере определены в соответствии с Указом Президента РФ от 07.05.2012                     № 600 «О мерах по обеспечению граждан Российской Федерации доступным и комфортным жильем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                              №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1662-р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(в ред. распоряжения Правительства РФ от 08.08.2009 № 1121-р).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16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Основными задачами для достижения целей являются: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>
      <w:pPr>
        <w:pStyle w:val="Normal"/>
        <w:tabs>
          <w:tab w:val="clear" w:pos="720"/>
          <w:tab w:val="left" w:pos="736" w:leader="none"/>
          <w:tab w:val="left" w:pos="845" w:leader="none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«Городское хозяйство» предусматривает реализацию четырех подпрограмм и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трех</w:t>
      </w:r>
      <w:r>
        <w:rPr>
          <w:rFonts w:cs="Times New Roman" w:ascii="Times New Roman" w:hAnsi="Times New Roman"/>
          <w:sz w:val="28"/>
          <w:szCs w:val="28"/>
        </w:rPr>
        <w:t xml:space="preserve">  отдельных мероприятий: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48"/>
          <w:szCs w:val="48"/>
        </w:rPr>
        <w:t>•</w:t>
      </w: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1-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«Развитие транспортной системы». 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/>
      </w:pPr>
      <w:r>
        <w:rPr>
          <w:rFonts w:ascii="Times New Roman" w:hAnsi="Times New Roman"/>
          <w:sz w:val="28"/>
          <w:szCs w:val="28"/>
          <w:lang w:eastAsia="zh-CN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 безопасности дорожного движения.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обеспечение сохранности, содержания, ремонт, модернизация и развитие сети автомобильных дорог города;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обеспечение населения услугами общественного транспорта равной доступностью;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3.   обеспечение дорожной безопасности.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2 - </w:t>
      </w:r>
      <w:r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Цель: обеспечение населения города качественными жилищно-коммунальными услугами в условиях  энергосбережения и повышения энергетической эффективности.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Задачи:                                </w:t>
      </w:r>
    </w:p>
    <w:p>
      <w:pPr>
        <w:pStyle w:val="Normal"/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развитие, модернизация и капитальный ремонт объектов коммунальной инфраструктуры, находящиеся в муниципальной собственности города Канска;</w:t>
      </w:r>
    </w:p>
    <w:p>
      <w:pPr>
        <w:pStyle w:val="Normal"/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создание условий для безубыточной деятельности организаций коммунального комплекса;</w:t>
      </w:r>
    </w:p>
    <w:p>
      <w:pPr>
        <w:pStyle w:val="Normal"/>
        <w:tabs>
          <w:tab w:val="clear" w:pos="720"/>
          <w:tab w:val="left" w:pos="335" w:leader="none"/>
          <w:tab w:val="left" w:pos="498" w:leader="none"/>
        </w:tabs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энергосбережение и повышение энергетической эффективности;</w:t>
      </w:r>
    </w:p>
    <w:p>
      <w:pPr>
        <w:pStyle w:val="Normal"/>
        <w:tabs>
          <w:tab w:val="clear" w:pos="720"/>
          <w:tab w:val="left" w:pos="993" w:leader="none"/>
        </w:tabs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 обеспечение населения города чистой питьевой водой.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подпрограмма 3 - «Обращение с твердыми бытовыми отходами                              на территории города».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Цель: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Задачи: сбор, обезвреживание и вывоз отходов, информационное обеспечение в области обращения с отходами.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4 - «Благоустройство города». </w:t>
      </w:r>
    </w:p>
    <w:p>
      <w:pPr>
        <w:pStyle w:val="Normal"/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Цель: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567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Задачи:                                </w:t>
      </w:r>
    </w:p>
    <w:p>
      <w:pPr>
        <w:pStyle w:val="ConsPlusCell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обеспечение уличного освещения улично-дорожной сети города;</w:t>
      </w:r>
    </w:p>
    <w:p>
      <w:pPr>
        <w:pStyle w:val="ConsPlusCel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повышение уровня благоустроенности городской природной среды.</w:t>
      </w:r>
    </w:p>
    <w:p>
      <w:pPr>
        <w:pStyle w:val="ConsPlusCell"/>
        <w:tabs>
          <w:tab w:val="clear" w:pos="720"/>
          <w:tab w:val="left" w:pos="993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1 -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>Цель: сокращение численности безнадзорных животных до экологически безопасного и социально-приемлемого уровня.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2 -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». 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>Цель: создание условий для эффективного, ответственного и прозрачного управления в рамках выполнения установленных функций и полномочий, а также повышения эффективности расходов городского бюджета.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lang w:eastAsia="zh-CN"/>
        </w:rPr>
        <w:t>мероприятие 3 - «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Мероприятия в области обеспечения капитального ремонта, реконструкции и строительства гидротехнических сооружений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>Цель: разработка ПСД и строительство сооружений берегоукрепления  р. Кан для защиты жилой застройки и объектов народного хозяйства от затопления и разрушения.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tabs>
          <w:tab w:val="clear" w:pos="720"/>
          <w:tab w:val="left" w:pos="993" w:leader="none"/>
        </w:tabs>
        <w:spacing w:before="0" w:after="0"/>
        <w:ind w:left="0" w:right="-143" w:firstLine="709"/>
        <w:jc w:val="center"/>
        <w:rPr>
          <w:b/>
          <w:b/>
          <w:szCs w:val="28"/>
        </w:rPr>
      </w:pPr>
      <w:r>
        <w:rPr>
          <w:b/>
          <w:szCs w:val="28"/>
        </w:rPr>
        <w:t>Анализ ресурсного обеспечения</w:t>
      </w:r>
    </w:p>
    <w:p>
      <w:pPr>
        <w:pStyle w:val="Style20"/>
        <w:tabs>
          <w:tab w:val="clear" w:pos="720"/>
          <w:tab w:val="left" w:pos="993" w:leader="none"/>
        </w:tabs>
        <w:spacing w:before="0" w:after="0"/>
        <w:ind w:left="0" w:right="-143" w:firstLine="709"/>
        <w:jc w:val="center"/>
        <w:rPr>
          <w:b/>
          <w:b/>
          <w:szCs w:val="28"/>
        </w:rPr>
      </w:pPr>
      <w:r>
        <w:rPr>
          <w:b/>
          <w:szCs w:val="28"/>
        </w:rPr>
        <w:t xml:space="preserve"> </w:t>
      </w:r>
      <w:r>
        <w:rPr>
          <w:b/>
          <w:szCs w:val="28"/>
        </w:rPr>
        <w:t>(анализ структуры управления и финансовые ресурсы)</w:t>
      </w:r>
    </w:p>
    <w:p>
      <w:pPr>
        <w:pStyle w:val="Style20"/>
        <w:tabs>
          <w:tab w:val="clear" w:pos="720"/>
          <w:tab w:val="left" w:pos="993" w:leader="none"/>
        </w:tabs>
        <w:spacing w:before="0" w:after="0"/>
        <w:ind w:left="0" w:right="-143" w:firstLine="709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Структура управления программой соответствует поставленным целям и задачам. Ответственным исполнителем и главным распорядителем является УС и ЖКХ администрации города Канска. За 2021-2023 годы ассигнований предусмотрено в сумме 1 0</w:t>
      </w:r>
      <w:r>
        <w:rPr>
          <w:rFonts w:cs="Times New Roman" w:ascii="Times New Roman" w:hAnsi="Times New Roman"/>
          <w:sz w:val="28"/>
          <w:szCs w:val="28"/>
        </w:rPr>
        <w:t>08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732 254,39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. На 2021 год произошло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уменьшение ассигнований</w:t>
      </w:r>
      <w:r>
        <w:rPr>
          <w:rFonts w:cs="Times New Roman" w:ascii="Times New Roman" w:hAnsi="Times New Roman"/>
          <w:sz w:val="28"/>
          <w:szCs w:val="28"/>
        </w:rPr>
        <w:t xml:space="preserve"> в сумме 1</w:t>
      </w:r>
      <w:r>
        <w:rPr>
          <w:rFonts w:cs="Times New Roman" w:ascii="Times New Roman" w:hAnsi="Times New Roman"/>
          <w:sz w:val="28"/>
          <w:szCs w:val="28"/>
        </w:rPr>
        <w:t>9 495 087,28</w:t>
      </w:r>
      <w:r>
        <w:rPr>
          <w:rFonts w:cs="Times New Roman" w:ascii="Times New Roman" w:hAnsi="Times New Roman"/>
          <w:sz w:val="28"/>
          <w:szCs w:val="28"/>
        </w:rPr>
        <w:t xml:space="preserve"> рублей.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40"/>
          <w:szCs w:val="40"/>
        </w:rPr>
        <w:t>•</w:t>
      </w: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1-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«Развитие транспортной системы».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Данная подпрограмма предусматривает средства городского и краевого бюджетов для развития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 в сумме 59</w:t>
      </w:r>
      <w:r>
        <w:rPr>
          <w:rFonts w:cs="Times New Roman" w:ascii="Times New Roman" w:hAnsi="Times New Roman"/>
          <w:color w:val="000000"/>
          <w:sz w:val="28"/>
          <w:szCs w:val="28"/>
        </w:rPr>
        <w:t>9 010 344,62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рубля </w:t>
      </w:r>
      <w:bookmarkStart w:id="0" w:name="_GoBack2"/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 xml:space="preserve">(2021 — 289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843 509,62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рублей, 2022 -               160 238 127,00 рублей, 2023 — 148 928 708,00 рублей).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-143" w:firstLine="708"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По данной подпрограмме произошло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lang w:val="ru-RU" w:eastAsia="en-US" w:bidi="ar-SA"/>
        </w:rPr>
        <w:t>увеличение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 расходов</w:t>
      </w:r>
      <w:bookmarkStart w:id="1" w:name="_Hlk21095460111"/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bookmarkEnd w:id="1"/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на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171 661,31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рубл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ь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, в том числе: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-143" w:firstLine="708"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за счет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lang w:val="ru-RU" w:eastAsia="en-US" w:bidi="ar-SA"/>
        </w:rPr>
        <w:t>перераспределения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 бюджетных средств из бюджета г. Канска на мероприятия: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-143" w:firstLine="708"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увеличение: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-143" w:firstLine="708"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- 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259 820,71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 рублей на содержание и обслуживание улично-дорожной сети;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-143" w:firstLine="708"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- 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743 390,31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 рублей на ремонт (отсыпка) дорог;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-143" w:firstLine="708"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уменьшение: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-143" w:firstLine="708"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- 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255 819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,00 рублей на капитальный ремонт и ремонт автомобильных дорог общего пользования местного значения за счет средств муниципального дорожного фонда г. Канска;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-143" w:firstLine="708"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- 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315 910,00 рублей на проектно-сметную документацию за счет средств муниципального дорожного фонда г. Канска;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-143" w:firstLine="708"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- 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259 820,71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 рублей на замену и установку дорожно-знаковой информации;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</w:t>
      </w:r>
      <w:r>
        <w:rPr>
          <w:rFonts w:cs="Times New Roman" w:ascii="Times New Roman" w:hAnsi="Times New Roman"/>
          <w:color w:val="000000"/>
          <w:sz w:val="28"/>
          <w:szCs w:val="28"/>
        </w:rPr>
        <w:t>по</w:t>
      </w:r>
      <w:r>
        <w:rPr>
          <w:rFonts w:cs="Times New Roman" w:ascii="Times New Roman" w:hAnsi="Times New Roman"/>
          <w:sz w:val="28"/>
          <w:szCs w:val="28"/>
        </w:rPr>
        <w:t xml:space="preserve">дпрограмма 2 - </w:t>
      </w:r>
      <w:r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для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обеспечения населения города качественными жилищно-коммунальными услугами в условиях энергосбережения и повышения энергетической эффективности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53 824 315,29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 </w:t>
      </w:r>
      <w:bookmarkStart w:id="2" w:name="_GoBack12"/>
      <w:bookmarkEnd w:id="2"/>
      <w:r>
        <w:rPr>
          <w:rFonts w:cs="Times New Roman" w:ascii="Times New Roman" w:hAnsi="Times New Roman"/>
          <w:color w:val="000000"/>
          <w:sz w:val="28"/>
          <w:szCs w:val="28"/>
        </w:rPr>
        <w:t xml:space="preserve">(2021 -                       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22 360 010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,29 рублей, 2022 - 68 711 905,00 рублей,  2023 года -                        62 752 400,00 рублей).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Произошли 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 xml:space="preserve">изменения в 2021 году, уменьшилась сумма на                   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>18 293 600,00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 xml:space="preserve"> рублей в части мероприятия «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>Реализация отельных мер по обеспечению ограничения платы граждан за коммунальные услуги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 xml:space="preserve">» согласно уведомлению от 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>12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>.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>11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 xml:space="preserve">.2021 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>№ 35564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 xml:space="preserve">подпрограмма 3 - «Обращение с твердыми бытовыми отходами                              на территории города» </w:t>
      </w:r>
      <w:r>
        <w:rPr>
          <w:rFonts w:cs="Times New Roman" w:ascii="Times New Roman" w:hAnsi="Times New Roman"/>
          <w:sz w:val="28"/>
          <w:szCs w:val="28"/>
          <w:lang w:eastAsia="zh-CN"/>
        </w:rPr>
        <w:t>составляет  в сумме 7 931 560,00 рублей (2021-             7 931 560,00 рублей, 2022 -0,00 рублей, 2023 - 0,00 рублей).</w:t>
      </w:r>
    </w:p>
    <w:p>
      <w:pPr>
        <w:pStyle w:val="Normal"/>
        <w:spacing w:before="0" w:after="0"/>
        <w:ind w:left="0" w:right="-143" w:firstLine="708"/>
        <w:jc w:val="both"/>
        <w:rPr/>
      </w:pPr>
      <w:r>
        <w:rPr>
          <w:rFonts w:ascii="Times New Roman" w:hAnsi="Times New Roman"/>
          <w:bCs/>
          <w:sz w:val="28"/>
          <w:szCs w:val="28"/>
        </w:rPr>
        <w:t>По данному мероприятию изменений не произошло</w:t>
      </w:r>
      <w:r>
        <w:rPr>
          <w:rFonts w:cs="Times New Roman" w:ascii="Times New Roman" w:hAnsi="Times New Roman"/>
          <w:bCs/>
          <w:sz w:val="28"/>
          <w:szCs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4 - «Благоустройство города».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для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обеспечения комфортных условий для проживания граждан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15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5 154 350,48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рублей (2021 —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6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7 668 464,48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рубля, 2022 -                      47 562 943,00 рубля, 2023 - 39 922 943,00 рубля).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-143" w:firstLine="708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Произошло 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>уменьшение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расходов</w:t>
      </w:r>
      <w:bookmarkStart w:id="3" w:name="_Hlk2109546011"/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bookmarkEnd w:id="3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на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>1 510 478,59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, в том числе: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-143" w:firstLine="708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-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увеличение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за счет дополнительного выделения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и перераспределения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бюджетных средств из бюджета г. Канска на мероприятия «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Организация ритуальных услуг, санитарное и эстетическое содержание кладбищ» 2 150,00 рублей, «Благоустройство общественных территорий города» 3 811 951,15 рубль.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-143" w:firstLine="708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Уменьшение расходов в части мероприятия «Организация проведения разборки зданий, надворных построек и многоквартирных домов признанных аварийными, снос сооружений» на сумму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>5 318 295,91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рублей, «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>Вынос наружных инженерных сетей водоснабжения, водоотведения, теплоснабжения, электроснабжения с территории объектов строительства и благоустройства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» на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4 133,83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рубля, «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Вырубка и обрезка деревьев и кустарников» 2 150,00 рублей.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-143" w:firstLine="708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/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Отдельное мероприятие: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1 -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lang w:eastAsia="zh-CN"/>
        </w:rPr>
        <w:t>». С 2021-2023</w:t>
      </w:r>
      <w:r>
        <w:rPr>
          <w:rFonts w:cs="Times New Roman" w:ascii="Times New Roman" w:hAnsi="Times New Roman"/>
          <w:sz w:val="28"/>
          <w:szCs w:val="28"/>
        </w:rPr>
        <w:t xml:space="preserve"> года по 2 157 700,00 рублей ежегодно. </w:t>
      </w:r>
      <w:r>
        <w:rPr>
          <w:rFonts w:cs="Times New Roman" w:ascii="Times New Roman" w:hAnsi="Times New Roman"/>
          <w:bCs/>
          <w:sz w:val="28"/>
          <w:szCs w:val="28"/>
        </w:rPr>
        <w:t>По данному мероприятию изменений нет.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М</w:t>
      </w:r>
      <w:r>
        <w:rPr>
          <w:rFonts w:cs="Times New Roman" w:ascii="Times New Roman" w:hAnsi="Times New Roman"/>
          <w:sz w:val="28"/>
          <w:szCs w:val="28"/>
        </w:rPr>
        <w:t xml:space="preserve">ероприятие 2 -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 составляет  в сумме 86 </w:t>
      </w:r>
      <w:r>
        <w:rPr>
          <w:rFonts w:cs="Times New Roman" w:ascii="Times New Roman" w:hAnsi="Times New Roman"/>
          <w:sz w:val="28"/>
          <w:szCs w:val="28"/>
          <w:lang w:eastAsia="zh-CN"/>
        </w:rPr>
        <w:t>338 584</w:t>
      </w:r>
      <w:r>
        <w:rPr>
          <w:rFonts w:cs="Times New Roman" w:ascii="Times New Roman" w:hAnsi="Times New Roman"/>
          <w:sz w:val="28"/>
          <w:szCs w:val="28"/>
          <w:lang w:eastAsia="zh-CN"/>
        </w:rPr>
        <w:t>,00 рубля (2021- 3</w:t>
      </w:r>
      <w:r>
        <w:rPr>
          <w:rFonts w:cs="Times New Roman" w:ascii="Times New Roman" w:hAnsi="Times New Roman"/>
          <w:sz w:val="28"/>
          <w:szCs w:val="28"/>
          <w:lang w:eastAsia="zh-CN"/>
        </w:rPr>
        <w:t>5 103 064</w:t>
      </w:r>
      <w:r>
        <w:rPr>
          <w:rFonts w:cs="Times New Roman" w:ascii="Times New Roman" w:hAnsi="Times New Roman"/>
          <w:sz w:val="28"/>
          <w:szCs w:val="28"/>
          <w:lang w:eastAsia="zh-CN"/>
        </w:rPr>
        <w:t>,00 рубля, 2022 -25 268 255,00 рублей, 2023 - 25 967 265,00 рублей).</w:t>
      </w:r>
    </w:p>
    <w:p>
      <w:pPr>
        <w:pStyle w:val="Normal"/>
        <w:spacing w:before="0" w:after="0"/>
        <w:ind w:left="0" w:right="-143" w:firstLine="708"/>
        <w:jc w:val="both"/>
        <w:rPr/>
      </w:pPr>
      <w:r>
        <w:rPr>
          <w:rFonts w:ascii="Times New Roman" w:hAnsi="Times New Roman"/>
          <w:bCs/>
          <w:sz w:val="28"/>
          <w:szCs w:val="28"/>
        </w:rPr>
        <w:t xml:space="preserve">По данному мероприятию произошло </w:t>
      </w:r>
      <w:r>
        <w:rPr>
          <w:rFonts w:eastAsia="Calibri" w:cs="Tahoma" w:ascii="Times New Roman" w:hAnsi="Times New Roman"/>
          <w:bCs/>
          <w:color w:val="auto"/>
          <w:kern w:val="0"/>
          <w:sz w:val="28"/>
          <w:szCs w:val="28"/>
          <w:lang w:val="ru-RU" w:eastAsia="en-US" w:bidi="ar-SA"/>
        </w:rPr>
        <w:t>увеличение</w:t>
      </w:r>
      <w:r>
        <w:rPr>
          <w:rFonts w:ascii="Times New Roman" w:hAnsi="Times New Roman"/>
          <w:bCs/>
          <w:sz w:val="28"/>
          <w:szCs w:val="28"/>
        </w:rPr>
        <w:t xml:space="preserve"> расходов</w:t>
      </w:r>
      <w:bookmarkStart w:id="4" w:name="_Hlk21095460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End w:id="4"/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бюджета в 2021 году на </w:t>
      </w:r>
      <w:r>
        <w:rPr>
          <w:rFonts w:ascii="Times New Roman" w:hAnsi="Times New Roman"/>
          <w:b w:val="false"/>
          <w:bCs w:val="false"/>
          <w:sz w:val="28"/>
          <w:szCs w:val="28"/>
        </w:rPr>
        <w:t>137 330</w:t>
      </w:r>
      <w:r>
        <w:rPr>
          <w:rFonts w:ascii="Times New Roman" w:hAnsi="Times New Roman"/>
          <w:b w:val="false"/>
          <w:bCs w:val="false"/>
          <w:sz w:val="28"/>
          <w:szCs w:val="28"/>
        </w:rPr>
        <w:t>,00 рубл</w:t>
      </w:r>
      <w:r>
        <w:rPr>
          <w:rFonts w:ascii="Times New Roman" w:hAnsi="Times New Roman"/>
          <w:b w:val="false"/>
          <w:bCs w:val="false"/>
          <w:sz w:val="28"/>
          <w:szCs w:val="28"/>
        </w:rPr>
        <w:t>ей</w:t>
      </w:r>
      <w:r>
        <w:rPr>
          <w:rFonts w:ascii="Times New Roman" w:hAnsi="Times New Roman"/>
          <w:b w:val="false"/>
          <w:bCs w:val="false"/>
          <w:sz w:val="28"/>
          <w:szCs w:val="28"/>
        </w:rPr>
        <w:t>, в том числе:</w:t>
      </w:r>
    </w:p>
    <w:p>
      <w:pPr>
        <w:pStyle w:val="Normal"/>
        <w:spacing w:before="0" w:after="0"/>
        <w:ind w:left="0" w:right="-143" w:firstLine="708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- </w:t>
      </w:r>
      <w:bookmarkStart w:id="5" w:name="__DdeLink__724_1620642654"/>
      <w:r>
        <w:rPr>
          <w:rFonts w:ascii="Times New Roman" w:hAnsi="Times New Roman"/>
          <w:b w:val="false"/>
          <w:bCs w:val="false"/>
          <w:sz w:val="28"/>
          <w:szCs w:val="28"/>
        </w:rPr>
        <w:t>за счет перераспределения</w:t>
      </w:r>
      <w:bookmarkEnd w:id="5"/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непрограммных средств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в сумме </w:t>
      </w:r>
      <w:r>
        <w:rPr>
          <w:rFonts w:ascii="Times New Roman" w:hAnsi="Times New Roman"/>
          <w:b w:val="false"/>
          <w:bCs w:val="false"/>
          <w:sz w:val="28"/>
          <w:szCs w:val="28"/>
        </w:rPr>
        <w:t>5</w:t>
      </w:r>
      <w:r>
        <w:rPr>
          <w:rFonts w:ascii="Times New Roman" w:hAnsi="Times New Roman"/>
          <w:b w:val="false"/>
          <w:bCs w:val="false"/>
          <w:sz w:val="28"/>
          <w:szCs w:val="28"/>
        </w:rPr>
        <w:t>0 0</w:t>
      </w:r>
      <w:r>
        <w:rPr>
          <w:rFonts w:ascii="Times New Roman" w:hAnsi="Times New Roman"/>
          <w:b w:val="false"/>
          <w:bCs w:val="false"/>
          <w:sz w:val="28"/>
          <w:szCs w:val="28"/>
        </w:rPr>
        <w:t>00</w:t>
      </w:r>
      <w:r>
        <w:rPr>
          <w:rFonts w:ascii="Times New Roman" w:hAnsi="Times New Roman"/>
          <w:b w:val="false"/>
          <w:bCs w:val="false"/>
          <w:sz w:val="28"/>
          <w:szCs w:val="28"/>
        </w:rPr>
        <w:t>,00 рубл</w:t>
      </w:r>
      <w:r>
        <w:rPr>
          <w:rFonts w:ascii="Times New Roman" w:hAnsi="Times New Roman"/>
          <w:b w:val="false"/>
          <w:bCs w:val="false"/>
          <w:sz w:val="28"/>
          <w:szCs w:val="28"/>
        </w:rPr>
        <w:t>ей</w:t>
      </w:r>
      <w:r>
        <w:rPr>
          <w:rFonts w:ascii="Times New Roman" w:hAnsi="Times New Roman"/>
          <w:b w:val="false"/>
          <w:bCs w:val="false"/>
          <w:sz w:val="28"/>
          <w:szCs w:val="28"/>
        </w:rPr>
        <w:t>;</w:t>
      </w:r>
    </w:p>
    <w:p>
      <w:pPr>
        <w:pStyle w:val="Normal"/>
        <w:spacing w:before="0" w:after="0"/>
        <w:ind w:left="0" w:right="-143" w:firstLine="708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- за счет дополнительного выделения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краевых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бюджетных средств </w:t>
      </w:r>
      <w:r>
        <w:rPr>
          <w:rFonts w:ascii="Times New Roman" w:hAnsi="Times New Roman"/>
          <w:b w:val="false"/>
          <w:bCs w:val="false"/>
          <w:sz w:val="28"/>
          <w:szCs w:val="28"/>
        </w:rPr>
        <w:t>доплата до МРОТ — 87 330</w:t>
      </w:r>
      <w:r>
        <w:rPr>
          <w:rFonts w:ascii="Times New Roman" w:hAnsi="Times New Roman"/>
          <w:b w:val="false"/>
          <w:bCs w:val="false"/>
          <w:sz w:val="28"/>
          <w:szCs w:val="28"/>
        </w:rPr>
        <w:t>,00 рублей;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Мероприятие 3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«Мероприятия в области обеспечения капитального ремонта, реконструкции и строительства гидротехнических сооружений»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Данное мероприятие не предусмотрено на 2021 год.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целям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Утвердить проект программы «Городское хозяйство».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hyperlink r:id="rId2">
        <w:r>
          <w:rPr>
            <w:rStyle w:val="Style"/>
            <w:rFonts w:cs="Times New Roman" w:ascii="Times New Roman" w:hAnsi="Times New Roman"/>
            <w:sz w:val="20"/>
            <w:szCs w:val="20"/>
          </w:rPr>
          <w:t>8(39161) 3-28-08</w:t>
        </w:r>
      </w:hyperlink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1701" w:right="850" w:header="1134" w:top="1670" w:footer="709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>
        <w:rFonts w:ascii="Times New Roman" w:hAnsi="Times New Roman" w:cs="Times New Roman"/>
      </w:rPr>
    </w:pPr>
    <w:r>
      <w:rPr/>
    </w:r>
  </w:p>
  <w:p>
    <w:pPr>
      <w:pStyle w:val="Style2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tabs>
        <w:tab w:val="left" w:pos="4515" w:leader="none"/>
        <w:tab w:val="center" w:pos="4677" w:leader="none"/>
        <w:tab w:val="right" w:pos="9355" w:leader="none"/>
      </w:tabs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ab/>
      <w:tab/>
    </w:r>
  </w:p>
  <w:p>
    <w:pPr>
      <w:pStyle w:val="Style2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6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7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ConsPlusCell">
    <w:name w:val="ConsPlusCell"/>
    <w:qFormat/>
    <w:pPr>
      <w:widowControl/>
      <w:overflowPunct w:val="true"/>
      <w:bidi w:val="0"/>
      <w:spacing w:lineRule="auto" w:line="240" w:before="0" w:after="0"/>
      <w:jc w:val="left"/>
    </w:pPr>
    <w:rPr>
      <w:rFonts w:ascii="Arial" w:hAnsi="Arial" w:eastAsia="Calibri" w:cs="Arial"/>
      <w:color w:val="auto"/>
      <w:kern w:val="0"/>
      <w:sz w:val="2"/>
      <w:szCs w:val="2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413A60353FEA5670CC4712870F4D595D86B1D01B6110A2367F9A12BBE0CF41EFCDE223368A92F3D04C1722E03D6210153F0AB938995856133G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2726</TotalTime>
  <Application>LibreOffice/6.3.6.2$Windows_x86 LibreOffice_project/2196df99b074d8a661f4036fca8fa0cbfa33a497</Application>
  <Pages>6</Pages>
  <Words>1531</Words>
  <Characters>10980</Characters>
  <CharactersWithSpaces>12945</CharactersWithSpaces>
  <Paragraphs>97</Paragraphs>
  <Company>КонсультантПлюс Версия 4020.00.61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2021-04-28T13:55:00Z</dcterms:created>
  <dc:creator>RePack by Diakov</dc:creator>
  <dc:description/>
  <dc:language>ru-RU</dc:language>
  <cp:lastModifiedBy/>
  <cp:lastPrinted>2021-12-13T13:59:28Z</cp:lastPrinted>
  <dcterms:modified xsi:type="dcterms:W3CDTF">2021-12-13T14:14:17Z</dcterms:modified>
  <cp:revision>172</cp:revision>
  <dc:subject/>
  <dc:title>Распоряжение Правительства РФ от 17.11.2008 N 1662-р(ред. от 28.09.2018)&lt;О Концепции долгосрочного социально-экономического развития Российской Федерации на период до 2020 года&gt;(вместе с "Концепцией долгосрочного социально-экономического развития Российской Федерации на период до 2020 года")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