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в постановление администрации города Канска от 09.12.2016 № 1362     «Об утверждении муниципальной программы города Канска «Развитие образования»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(проект внесен Управлением образования администрации города Канска письмом от 01.06.2021 № 921)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образования».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sz w:val="28"/>
          <w:szCs w:val="28"/>
        </w:rPr>
        <w:t xml:space="preserve">проект постановления администрации города Канска 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 xml:space="preserve">с «02» июня 2021 года                                         по «03» июня 2021 года.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Решение Канского городского Совета депутатов от 28.05.2019                 № 41-238 «Об утверждении стратегии социально-экономического развития города Канска до 2030 года»;     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Закон Красноярского края от 26.06.2014 № 6-2519 (ред. от 24.12.2020)</w:t>
        <w:br/>
        <w:t>«Об образовании в Красноярском крае».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  (далее - Проект постановления, муниципальная программа), по результатам которой установлено следующее: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 предоставлен с сопроводительным письмом от 01.06.2021 № 921.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Управление образования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225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программой является:</w:t>
      </w:r>
    </w:p>
    <w:p>
      <w:pPr>
        <w:pStyle w:val="ConsPlusNormal"/>
        <w:tabs>
          <w:tab w:val="clear" w:pos="225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Обеспечить высокое качество образования, соответствующее потребностям граждан и перспективным задачам развития экономики города Канска, организовать отдых и оздоровление детей в летний период.</w:t>
      </w:r>
    </w:p>
    <w:p>
      <w:pPr>
        <w:pStyle w:val="ConsPlusNormal"/>
        <w:tabs>
          <w:tab w:val="clear" w:pos="225"/>
          <w:tab w:val="left" w:pos="1134" w:leader="none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ConsPlusNormal"/>
        <w:tabs>
          <w:tab w:val="clear" w:pos="225"/>
          <w:tab w:val="left" w:pos="1134" w:leader="none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Задачами настоящей программы являются:</w:t>
      </w:r>
    </w:p>
    <w:p>
      <w:pPr>
        <w:pStyle w:val="ConsPlusNormal"/>
        <w:numPr>
          <w:ilvl w:val="0"/>
          <w:numId w:val="1"/>
        </w:numPr>
        <w:tabs>
          <w:tab w:val="clear" w:pos="225"/>
          <w:tab w:val="left" w:pos="1134" w:leader="none"/>
        </w:tabs>
        <w:spacing w:lineRule="auto" w:line="25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en-US"/>
        </w:rPr>
        <w:t>Создать в системе дошкольного, общего и дополнительного образования равные возможности для получения современного качественного образования, социализации детей, отдыха и оздоровления детей в летний период</w:t>
      </w:r>
    </w:p>
    <w:p>
      <w:pPr>
        <w:pStyle w:val="ConsPlusNormal"/>
        <w:numPr>
          <w:ilvl w:val="0"/>
          <w:numId w:val="1"/>
        </w:numPr>
        <w:tabs>
          <w:tab w:val="clear" w:pos="225"/>
          <w:tab w:val="left" w:pos="1134" w:leader="none"/>
        </w:tabs>
        <w:spacing w:lineRule="auto" w:line="25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Создать условия для эффективного управления системой образования города Канска.</w:t>
      </w:r>
    </w:p>
    <w:p>
      <w:pPr>
        <w:pStyle w:val="ConsPlusNormal"/>
        <w:tabs>
          <w:tab w:val="clear" w:pos="225"/>
          <w:tab w:val="left" w:pos="1134" w:leader="none"/>
        </w:tabs>
        <w:spacing w:lineRule="auto" w:line="25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225"/>
          <w:tab w:val="left" w:pos="1134" w:leader="none"/>
        </w:tabs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Ожидаемые конечные результаты программы позволят: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повысить удовлетворенность населения качеством образовательных услуг;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повысить привлекательность педагогической профессии и уровень квалификации преподавательских кадров;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spacing w:val="-3"/>
          <w:sz w:val="28"/>
          <w:szCs w:val="28"/>
        </w:rPr>
        <w:t>сократить очередь на зачисление детей от одного года до трех лет в дошкольные образовательные организации;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spacing w:val="-3"/>
          <w:sz w:val="28"/>
          <w:szCs w:val="28"/>
        </w:rPr>
        <w:t>создать условия, соответствующие требованиям федеральных государственных образовательных стандартов, в том числе для детей с ограниченными возможностями здоровья, умственной отсталостью в образовательных учреждениях;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spacing w:val="-3"/>
          <w:sz w:val="28"/>
          <w:szCs w:val="28"/>
        </w:rPr>
        <w:t>создать условия для реализации программ дополнительного образования в соответствии с запросами населения, обеспечить проведение мероприятий для развития детских способностей и одаренности.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Качество реализации мероприятий программы будет оцениваться на основании основных целевых показателей программы.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образования» предусматривает реализацию двух подпрограмм: </w:t>
      </w:r>
    </w:p>
    <w:p>
      <w:pPr>
        <w:pStyle w:val="ListParagraph"/>
        <w:numPr>
          <w:ilvl w:val="0"/>
          <w:numId w:val="2"/>
        </w:numPr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подпрограмма 1 «Развитие дошкольного, общего и дополнительного образования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».</w:t>
      </w:r>
    </w:p>
    <w:p>
      <w:pPr>
        <w:pStyle w:val="1"/>
        <w:shd w:val="clear" w:color="auto" w:fill="auto"/>
        <w:spacing w:lineRule="auto" w:line="240" w:before="0" w:after="244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 xml:space="preserve">Цель: создать в системе дошкольного, общего и дополнительного образования равные возможности для получения современного качественного образования, социализации детей, отдыха и оздоровления детей в летний период. </w:t>
      </w:r>
    </w:p>
    <w:p>
      <w:pPr>
        <w:pStyle w:val="1"/>
        <w:shd w:val="clear" w:color="auto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>Задачи: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доступность дошкольного образования, соответствующего единому стандарту качества дошкольного образования;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предоставление дополнительного  образования, в том числе за счет разработки и реализации современных образовательных программ, дистанционных и сетевых форм их реализации;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выявлению и поддержке одаренных детей;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безопасный, качественный отдых и оздоровление детей;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развитие профессиональной компетентности педагогов, создать систему дополнительных стимулов повышения имиджа педагогической профессии средствами событийных мероприятий и конкурсного движения;</w:t>
      </w:r>
    </w:p>
    <w:p>
      <w:pPr>
        <w:pStyle w:val="Normal"/>
        <w:numPr>
          <w:ilvl w:val="0"/>
          <w:numId w:val="4"/>
        </w:numPr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Cs/>
          <w:kern w:val="2"/>
          <w:sz w:val="28"/>
          <w:szCs w:val="28"/>
        </w:rPr>
        <w:t>обеспечить психолого-педагогическую и социальную помощь детям, психолого-педагогическое и методическое сопровождение реализации основных общеобразовательных программ.</w:t>
      </w:r>
    </w:p>
    <w:p>
      <w:pPr>
        <w:pStyle w:val="Normal"/>
        <w:numPr>
          <w:ilvl w:val="0"/>
          <w:numId w:val="0"/>
        </w:numPr>
        <w:tabs>
          <w:tab w:val="clear" w:pos="225"/>
          <w:tab w:val="left" w:pos="1134" w:leader="none"/>
        </w:tabs>
        <w:spacing w:lineRule="auto" w:line="240" w:before="0" w:after="0"/>
        <w:ind w:left="612" w:right="0" w:hanging="0"/>
        <w:contextualSpacing/>
        <w:jc w:val="both"/>
        <w:rPr>
          <w:rFonts w:cs="Times New Roman"/>
          <w:bCs/>
          <w:kern w:val="2"/>
        </w:rPr>
      </w:pPr>
      <w:r>
        <w:rPr>
          <w:rFonts w:cs="Times New Roman"/>
          <w:bCs/>
          <w:kern w:val="2"/>
        </w:rPr>
      </w:r>
    </w:p>
    <w:p>
      <w:pPr>
        <w:pStyle w:val="ListParagraph"/>
        <w:numPr>
          <w:ilvl w:val="0"/>
          <w:numId w:val="2"/>
        </w:numPr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2 </w:t>
      </w:r>
      <w:r>
        <w:rPr>
          <w:rFonts w:cs="Times New Roman" w:ascii="Times New Roman" w:hAnsi="Times New Roman"/>
          <w:kern w:val="2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 w:ascii="Times New Roman" w:hAnsi="Times New Roman"/>
          <w:kern w:val="2"/>
          <w:sz w:val="28"/>
          <w:szCs w:val="28"/>
        </w:rPr>
        <w:t xml:space="preserve">». </w:t>
      </w:r>
    </w:p>
    <w:p>
      <w:pPr>
        <w:pStyle w:val="Normal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создать условия для эффективного управления системой образования города Канска.</w:t>
      </w:r>
    </w:p>
    <w:p>
      <w:pPr>
        <w:pStyle w:val="Normal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1. Организовать деятельность органа 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правления образовани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и учреждений, обеспечивающих деятельность образовательных учреждений, направленную на эффективное управление системой образования города Канска;</w:t>
      </w:r>
    </w:p>
    <w:p>
      <w:pPr>
        <w:pStyle w:val="Normal"/>
        <w:tabs>
          <w:tab w:val="clear" w:pos="225"/>
          <w:tab w:val="left" w:pos="4661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обеспечить методическое, информационное и инженерно-техническое сопровождение деятельности муниципальных образовательных учреждений города Канска</w:t>
      </w:r>
      <w:r>
        <w:rPr>
          <w:rFonts w:cs="Times New Roman" w:ascii="Times New Roman" w:hAnsi="Times New Roman"/>
          <w:color w:val="000000"/>
          <w:sz w:val="28"/>
          <w:szCs w:val="28"/>
        </w:rPr>
        <w:t>, ведение бухгалтерского, статистического и налогового учета муниципальных бюджетных и муниципальных автономных образовательных учреждений, организацию контроля за деятельностью</w:t>
      </w:r>
      <w:r>
        <w:rPr>
          <w:rFonts w:cs="Times New Roman" w:ascii="Times New Roman" w:hAnsi="Times New Roman"/>
          <w:sz w:val="28"/>
          <w:szCs w:val="28"/>
        </w:rPr>
        <w:t xml:space="preserve"> муниципальных образовательных учреждений города Канска.</w:t>
      </w:r>
    </w:p>
    <w:p>
      <w:pPr>
        <w:pStyle w:val="Normal"/>
        <w:tabs>
          <w:tab w:val="clear" w:pos="225"/>
          <w:tab w:val="left" w:pos="466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главными распорядителями является Управление образования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Финансирование программы предусмотрено за счет средств федерального, краевого и городского бюджетов. Общий объем финансирования    программы на 2021-2023 годы составляет 4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756 345 266,55</w:t>
      </w:r>
      <w:r>
        <w:rPr>
          <w:rFonts w:cs="Times New Roman" w:ascii="Times New Roman" w:hAnsi="Times New Roman"/>
          <w:sz w:val="28"/>
          <w:szCs w:val="28"/>
        </w:rPr>
        <w:t xml:space="preserve"> рублей, в том числе за счет средств федерального бюджета в сумме 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294 761 449,58</w:t>
      </w:r>
      <w:r>
        <w:rPr>
          <w:rFonts w:cs="Times New Roman" w:ascii="Times New Roman" w:hAnsi="Times New Roman"/>
          <w:sz w:val="28"/>
          <w:szCs w:val="28"/>
        </w:rPr>
        <w:t xml:space="preserve"> рублей, краевого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3 050 876 906,97</w:t>
      </w:r>
      <w:r>
        <w:rPr>
          <w:rFonts w:cs="Times New Roman" w:ascii="Times New Roman" w:hAnsi="Times New Roman"/>
          <w:sz w:val="28"/>
          <w:szCs w:val="28"/>
        </w:rPr>
        <w:t xml:space="preserve"> рублей и городского бюджета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1 410 706 910,00</w:t>
      </w:r>
      <w:r>
        <w:rPr>
          <w:rFonts w:cs="Times New Roman" w:ascii="Times New Roman" w:hAnsi="Times New Roman"/>
          <w:sz w:val="28"/>
          <w:szCs w:val="28"/>
        </w:rPr>
        <w:t xml:space="preserve"> рублей:</w:t>
      </w:r>
    </w:p>
    <w:p>
      <w:pPr>
        <w:pStyle w:val="ConsPlusNormal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подпрограмма 1 «Развитие дошкольного, общего и дополнительного образования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»</w:t>
      </w:r>
      <w:r>
        <w:rPr>
          <w:rFonts w:cs="Times New Roman" w:ascii="Times New Roman" w:hAnsi="Times New Roman"/>
          <w:sz w:val="28"/>
          <w:szCs w:val="28"/>
        </w:rPr>
        <w:t xml:space="preserve"> в сумме 4 556 432 606,15 рублей (в 2021 –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1 542 472 327,60</w:t>
      </w:r>
      <w:r>
        <w:rPr>
          <w:rFonts w:cs="Times New Roman" w:ascii="Times New Roman" w:hAnsi="Times New Roman"/>
          <w:sz w:val="28"/>
          <w:szCs w:val="28"/>
        </w:rPr>
        <w:t xml:space="preserve"> рублей, 2022 - 1 511 869 894,86 рубля, 2023 -1502 090 383,69 рубля). </w:t>
      </w:r>
    </w:p>
    <w:p>
      <w:pPr>
        <w:pStyle w:val="Normal"/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jc w:val="both"/>
        <w:rPr>
          <w:rFonts w:ascii="Calibri" w:hAnsi="Calibri" w:eastAsia="Calibri" w:cs="" w:asciiTheme="minorHAnsi" w:cstheme="minorBidi" w:eastAsiaTheme="minorHAnsi" w:hAnsiTheme="minorHAnsi"/>
        </w:rPr>
      </w:pPr>
      <w:r>
        <w:rPr>
          <w:rFonts w:cs="Times New Roman" w:ascii="Times New Roman" w:hAnsi="Times New Roman"/>
          <w:sz w:val="28"/>
          <w:szCs w:val="28"/>
        </w:rPr>
        <w:t>По подпрограмме 1 «Развитие дошкольного, общего                                                  и дополнительного образования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 xml:space="preserve">» увеличено финансирование </w:t>
      </w:r>
      <w:r>
        <w:rPr>
          <w:rFonts w:cs="Times New Roman" w:ascii="Times New Roman" w:hAnsi="Times New Roman"/>
          <w:sz w:val="28"/>
          <w:szCs w:val="28"/>
        </w:rPr>
        <w:t xml:space="preserve">за счет средств федерального, краевого и городского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11 749 939</w:t>
      </w:r>
      <w:r>
        <w:rPr>
          <w:rFonts w:cs="Times New Roman" w:ascii="Times New Roman" w:hAnsi="Times New Roman"/>
          <w:sz w:val="28"/>
          <w:szCs w:val="28"/>
        </w:rPr>
        <w:t xml:space="preserve">,00 рублей 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на следующие мероприятия:</w:t>
      </w:r>
    </w:p>
    <w:p>
      <w:pPr>
        <w:pStyle w:val="Normal"/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pacing w:val="0"/>
          <w:w w:val="100"/>
          <w:sz w:val="28"/>
          <w:szCs w:val="28"/>
          <w:u w:val="none"/>
          <w:em w:val="none"/>
          <w:lang w:val="ru-RU" w:eastAsia="ru-RU" w:bidi="ru-RU"/>
        </w:rPr>
        <w:t>- «Обеспечение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организациях»;</w:t>
      </w:r>
    </w:p>
    <w:p>
      <w:pPr>
        <w:pStyle w:val="Normal"/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pacing w:val="0"/>
          <w:w w:val="100"/>
          <w:sz w:val="28"/>
          <w:szCs w:val="28"/>
          <w:u w:val="none"/>
          <w:em w:val="none"/>
          <w:lang w:val="ru-RU" w:eastAsia="ru-RU" w:bidi="ru-RU"/>
        </w:rPr>
        <w:t>- «Обеспечение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организациях»;</w:t>
      </w:r>
    </w:p>
    <w:p>
      <w:pPr>
        <w:pStyle w:val="Normal"/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pacing w:val="0"/>
          <w:w w:val="100"/>
          <w:sz w:val="28"/>
          <w:szCs w:val="28"/>
          <w:u w:val="none"/>
          <w:em w:val="none"/>
          <w:lang w:val="ru-RU" w:eastAsia="ru-RU" w:bidi="ru-RU"/>
        </w:rPr>
        <w:t>- увеличение средств на фонд оплаты труда педагогическим работникам и учебно-вспомогательного персонала;</w:t>
      </w:r>
    </w:p>
    <w:p>
      <w:pPr>
        <w:pStyle w:val="Normal"/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pacing w:val="0"/>
          <w:w w:val="100"/>
          <w:sz w:val="28"/>
          <w:szCs w:val="28"/>
          <w:u w:val="none"/>
          <w:em w:val="none"/>
          <w:lang w:val="ru-RU" w:eastAsia="ru-RU" w:bidi="ru-RU"/>
        </w:rPr>
        <w:t>- «Содействие развитию налогового потенциала» на проведение ремонта кровли МБДОУ №50;</w:t>
      </w:r>
    </w:p>
    <w:p>
      <w:pPr>
        <w:pStyle w:val="Normal"/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pacing w:val="0"/>
          <w:w w:val="100"/>
          <w:sz w:val="28"/>
          <w:szCs w:val="28"/>
          <w:u w:val="none"/>
          <w:em w:val="none"/>
          <w:lang w:val="ru-RU" w:eastAsia="ru-RU" w:bidi="ru-RU"/>
        </w:rPr>
        <w:t>- «Осуществление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качества»;</w:t>
      </w:r>
    </w:p>
    <w:p>
      <w:pPr>
        <w:pStyle w:val="Normal"/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pacing w:val="0"/>
          <w:w w:val="100"/>
          <w:sz w:val="28"/>
          <w:szCs w:val="28"/>
          <w:u w:val="none"/>
          <w:em w:val="none"/>
          <w:lang w:val="ru-RU" w:eastAsia="ru-RU" w:bidi="ru-RU"/>
        </w:rPr>
        <w:t>- проведение капитального ремонта кровли СОШ №2.</w:t>
      </w:r>
    </w:p>
    <w:p>
      <w:pPr>
        <w:pStyle w:val="Normal"/>
        <w:widowControl w:val="false"/>
        <w:shd w:val="clear" w:color="auto" w:fill="auto"/>
        <w:tabs>
          <w:tab w:val="clear" w:pos="225"/>
          <w:tab w:val="left" w:pos="1134" w:leader="none"/>
        </w:tabs>
        <w:bidi w:val="0"/>
        <w:spacing w:lineRule="exact" w:line="297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pacing w:val="0"/>
          <w:w w:val="100"/>
          <w:sz w:val="28"/>
          <w:szCs w:val="28"/>
          <w:lang w:val="ru-RU" w:eastAsia="ru-RU" w:bidi="ru-RU"/>
        </w:rPr>
      </w:pPr>
      <w:r>
        <w:rPr>
          <w:rFonts w:eastAsia="Times New Roman" w:cs="Times New Roman" w:ascii="Times New Roman" w:hAnsi="Times New Roman"/>
          <w:color w:val="000000"/>
          <w:spacing w:val="0"/>
          <w:w w:val="100"/>
          <w:sz w:val="28"/>
          <w:szCs w:val="28"/>
          <w:lang w:val="ru-RU" w:eastAsia="ru-RU" w:bidi="ru-RU"/>
        </w:rPr>
      </w:r>
    </w:p>
    <w:p>
      <w:pPr>
        <w:pStyle w:val="ListParagraph"/>
        <w:numPr>
          <w:ilvl w:val="0"/>
          <w:numId w:val="3"/>
        </w:numPr>
        <w:tabs>
          <w:tab w:val="clear" w:pos="225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подпрограмму</w:t>
      </w:r>
      <w:r>
        <w:rPr/>
        <w:t xml:space="preserve"> </w:t>
      </w:r>
      <w:hyperlink r:id="rId2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kern w:val="2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 w:ascii="Times New Roman" w:hAnsi="Times New Roman"/>
          <w:kern w:val="2"/>
          <w:sz w:val="28"/>
          <w:szCs w:val="28"/>
        </w:rPr>
        <w:t xml:space="preserve">» в сумме </w:t>
      </w:r>
      <w:r>
        <w:rPr>
          <w:rFonts w:eastAsia="Calibri" w:cs="Times New Roman" w:ascii="Times New Roman" w:hAnsi="Times New Roman" w:eastAsiaTheme="minorHAnsi"/>
          <w:color w:val="auto"/>
          <w:kern w:val="2"/>
          <w:sz w:val="28"/>
          <w:szCs w:val="28"/>
          <w:lang w:val="ru-RU" w:eastAsia="en-US" w:bidi="ar-SA"/>
        </w:rPr>
        <w:t>199 912 660,40</w:t>
      </w:r>
      <w:r>
        <w:rPr>
          <w:rFonts w:cs="Times New Roman" w:ascii="Times New Roman" w:hAnsi="Times New Roman"/>
          <w:sz w:val="28"/>
          <w:szCs w:val="28"/>
        </w:rPr>
        <w:t xml:space="preserve"> рублей (в 2021 — 66 828 150,40 рублей, в 2022 - 66 556 254,00 рубля и в 2023 — 66 528 256,00 рублей).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данной программе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изменений по суммам нет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 </w:t>
      </w:r>
    </w:p>
    <w:p>
      <w:pPr>
        <w:pStyle w:val="Normal"/>
        <w:tabs>
          <w:tab w:val="clear" w:pos="225"/>
          <w:tab w:val="left" w:pos="851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Вносятся изменения в 2022 году по подпрограммам, в том числе: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по подпрограмме 1  «Развитие дошкольного, общего и дополнительного образования» увеличить финансирование на сумму 229,0 рублей на мероприятие «Обеспечение образовательных организаций материально-технической базой для внедрения цифровой образовательной среды»;</w:t>
      </w:r>
      <w:bookmarkStart w:id="0" w:name="_GoBack"/>
      <w:bookmarkEnd w:id="0"/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по подпрограмме 2 «Обеспечение реализации муниципальной программы и прочие мероприятия в области образования» уменьшить на 229,0 рублей мероприятие «Руководство и управление в сфере установленных функций органов местного самоуправления».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В 2023 году произвести корректировку расходов: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по подпрограмме 1  «Развитие дошкольного, общего и дополнительного образования» увеличить финансирование на сумму 327,0 рублей на мероприятие «Обеспечение образовательных организаций материально-технической базой для внедрения цифровой образовательной среды»;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по подпрограмме 2 «Обеспечение реализации муниципальной программы и прочие мероприятия в области образования» уменьшить на 327,0 руб.лей мероприятие «Руководство и управление в сфере установленных функций органов местного самоуправления».</w:t>
      </w:r>
    </w:p>
    <w:p>
      <w:pPr>
        <w:pStyle w:val="Normal"/>
        <w:tabs>
          <w:tab w:val="clear" w:pos="225"/>
          <w:tab w:val="left" w:pos="851" w:leader="none"/>
        </w:tabs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Муниципальная программа предполагает реализацию мероприятий проекта муниципальной программы «Развитие образования»: </w:t>
      </w:r>
      <w:r>
        <w:rPr>
          <w:rFonts w:cs="Times New Roman" w:ascii="Times New Roman" w:hAnsi="Times New Roman"/>
          <w:color w:val="000000"/>
          <w:sz w:val="28"/>
          <w:szCs w:val="28"/>
        </w:rPr>
        <w:t>о</w:t>
      </w:r>
      <w:r>
        <w:rPr>
          <w:rFonts w:cs="Times New Roman" w:ascii="Times New Roman" w:hAnsi="Times New Roman"/>
          <w:sz w:val="28"/>
          <w:szCs w:val="28"/>
        </w:rPr>
        <w:t>беспечить высокое качество образования, соответствующее потребностям граждан и перспективным задачам развития экономики города Канска, организовать отдых и оздоровление детей в летний период.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                  г. Канска рекомендует: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footerReference w:type="default" r:id="rId3"/>
      <w:footerReference w:type="first" r:id="rId4"/>
      <w:type w:val="nextPage"/>
      <w:pgSz w:w="11906" w:h="16838"/>
      <w:pgMar w:left="1701" w:right="851" w:header="0" w:top="1134" w:footer="709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Sylfae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124704976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6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  <w:p>
    <w:pPr>
      <w:pStyle w:val="Style25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szCs w:val="24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4"/>
        <w:szCs w:val="24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sz w:val="28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  <w:rPr>
        <w:rFonts w:cs="Times New Roman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225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Bodytext2">
    <w:name w:val="Body text (2)_"/>
    <w:basedOn w:val="DefaultParagraphFont"/>
    <w:qFormat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Bodytext2Bold">
    <w:name w:val="Body text (2) + Bold"/>
    <w:basedOn w:val="Bodytext2"/>
    <w:qFormat/>
    <w:rPr>
      <w:b/>
      <w:bCs/>
      <w:color w:val="000000"/>
      <w:spacing w:val="0"/>
      <w:w w:val="100"/>
      <w:lang w:val="ru-RU" w:eastAsia="ru-RU" w:bidi="ru-RU"/>
    </w:rPr>
  </w:style>
  <w:style w:type="character" w:styleId="Bodytext212pt">
    <w:name w:val="Body text (2) + 12 pt"/>
    <w:basedOn w:val="Bodytext2"/>
    <w:qFormat/>
    <w:rPr>
      <w:color w:val="000000"/>
      <w:spacing w:val="0"/>
      <w:w w:val="100"/>
      <w:sz w:val="24"/>
      <w:szCs w:val="24"/>
      <w:lang w:val="ru-RU" w:eastAsia="ru-RU" w:bidi="ru-RU"/>
    </w:rPr>
  </w:style>
  <w:style w:type="character" w:styleId="Bodytext3">
    <w:name w:val="Body text (3)_"/>
    <w:basedOn w:val="DefaultParagraphFont"/>
    <w:qFormat/>
    <w:rPr>
      <w:rFonts w:ascii="Sylfaen" w:hAnsi="Sylfaen" w:eastAsia="Sylfaen" w:cs="Sylfae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Bodytext3NotBold">
    <w:name w:val="Body text (3) + Not Bold"/>
    <w:basedOn w:val="Bodytext3"/>
    <w:qFormat/>
    <w:rPr>
      <w:b/>
      <w:bCs/>
      <w:color w:val="000000"/>
      <w:spacing w:val="0"/>
      <w:w w:val="100"/>
      <w:lang w:val="ru-RU" w:eastAsia="ru-RU" w:bidi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225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225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uiPriority w:val="99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Bodytext21">
    <w:name w:val="Body text (2)"/>
    <w:basedOn w:val="Normal"/>
    <w:qFormat/>
    <w:pPr>
      <w:widowControl w:val="false"/>
      <w:shd w:val="clear" w:color="auto" w:fill="FFFFFF"/>
      <w:spacing w:lineRule="exact" w:line="301" w:before="240" w:after="0"/>
    </w:pPr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paragraph" w:styleId="1">
    <w:name w:val="Основной текст1"/>
    <w:basedOn w:val="Normal"/>
    <w:qFormat/>
    <w:pPr>
      <w:shd w:val="clear" w:color="auto" w:fill="FFFFFF"/>
      <w:spacing w:lineRule="atLeast" w:line="240" w:before="360" w:after="300"/>
    </w:pPr>
    <w:rPr>
      <w:sz w:val="27"/>
      <w:szCs w:val="27"/>
      <w:lang w:val="x-none" w:eastAsia="x-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2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<Relationship Id="rId10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F27"/>
    <w:rsid w:val="001B1D57"/>
    <w:rsid w:val="005B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BD0347BAD3D4338BBE4ED22FB0BA7D2">
    <w:name w:val="2BD0347BAD3D4338BBE4ED22FB0BA7D2"/>
    <w:rsid w:val="005B7F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E6FFD-3E4C-4C91-9C82-3390C2E76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Application>LibreOffice/6.3.6.2$Windows_x86 LibreOffice_project/2196df99b074d8a661f4036fca8fa0cbfa33a497</Application>
  <Pages>6</Pages>
  <Words>1309</Words>
  <Characters>9988</Characters>
  <CharactersWithSpaces>11448</CharactersWithSpaces>
  <Paragraphs>75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2021-06-03T10:24:38Z</cp:lastPrinted>
  <dcterms:modified xsi:type="dcterms:W3CDTF">2021-06-03T10:26:00Z</dcterms:modified>
  <cp:revision>100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