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C" w:rsidRDefault="001E2C3C" w:rsidP="000D1FFC">
      <w:pPr>
        <w:spacing w:after="0" w:line="240" w:lineRule="auto"/>
        <w:ind w:firstLine="4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5</w:t>
      </w:r>
    </w:p>
    <w:p w:rsidR="000D1FFC" w:rsidRDefault="000D1FFC" w:rsidP="000D1FFC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развития человеческого капитала города: </w:t>
      </w:r>
    </w:p>
    <w:p w:rsidR="000D1FFC" w:rsidRDefault="000D1FFC" w:rsidP="000D1FFC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актуальная ситуация и образ будущего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1951"/>
        <w:gridCol w:w="3769"/>
        <w:gridCol w:w="3970"/>
      </w:tblGrid>
      <w:tr w:rsidR="000D1FFC" w:rsidTr="001E2C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Возможности развития человеческого капитала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Канск – 2016: актуальная ситуация, ограничивающая возможности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Канск – 2030: проектная ситуация, обеспечивающая возможности</w:t>
            </w:r>
          </w:p>
        </w:tc>
      </w:tr>
      <w:tr w:rsidR="000D1FFC" w:rsidTr="001E2C3C">
        <w:trPr>
          <w:trHeight w:val="24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lastRenderedPageBreak/>
              <w:t xml:space="preserve">Трудовая занятость, возможность повышения уровня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благосостояниянаселения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Возможность профессионального развития и карьерного роста</w:t>
            </w:r>
          </w:p>
          <w:p w:rsidR="000D1FFC" w:rsidRDefault="000D1FFC">
            <w:pPr>
              <w:pStyle w:val="p9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Невысокая степень диверсификации экономики, ограниченные возможности модернизации производств, снижение инновационной деятельности, линейное штатное расписание влекут отсутствие потребности в кадрах с высокой квалификацией, менеджерах.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Проблемы управления кадровым потенциалом (кадрового планирования, поиска кадров требуемой квалификации, организации переподготовки и т.д.)  в условиях разобщенности субъектов малого и среднего предпринимательства.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Сфера образования слабо ориентирована за запрос работодателей и профессиональные стандарты. 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Несовершенство системы сопровождения молодых сотрудников в период адаптации.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Низкий уровень заработной платы в сфере производства соответствующей низкой производительности труда на существующей материальной базе, при существующей рентабельности в условиях высокой конкуренции на рынках сбыта, разобщенности хозяйствующих субъектов, низкой степени их осведомленности о возможностях развития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. на социальных рынках.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Минимизация социального пакета.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Ограниченность возможностей повышения заработной платы у работников отраслей социальной сферы; высокая зарплата как правило достигается за счет высокой трудовой нагрузки, а не качества.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Ограниченность возможностей развития собственного бизнеса в условиях экономического спада, высокой конкуренции и разобщенности субъектов предпринимательства города.</w:t>
            </w:r>
          </w:p>
          <w:p w:rsidR="000D1FFC" w:rsidRDefault="000D1FFC">
            <w:pPr>
              <w:pStyle w:val="p9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Низкий уровень возможности получения образования,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проф.переподготовкиу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lastRenderedPageBreak/>
              <w:t>несовершеннолетних, обучающихся, у граждан, требующих социальной защиты (граждан с ОВЗ, пенсионеров).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lastRenderedPageBreak/>
              <w:t>Развитие новых производств, модернизация производств, внедрение новых производственных и управленческих технологий. Появление новых сырьевых рынков и рынков сбыта за счет выстраивания договорных отношений, создания межмуниципальных коопераций.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Появление потребности в новых рабочих и управленческих квалификациях за счет внедрения инновационных технологий и создания новых производств.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Повышение рентабельности производства, производительности труда за счет модернизации производства, введение системы эффективных контрактов, связанный с этим рост заработной платы, улучшение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соц.пакета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Создание возможностей для развития собственного бизнеса на социальных и приоритетных рынках.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Создание сервисных центров, оказывающих посреднические услуги между предпринимателями и учреждениями профобразования.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Введение в учреждениях профессионального образования дуального образования, профессионального стандарта.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Формирование муниципального заказа учреждениям образования с учетом потребностей работодателей.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Формирование института наставничества в условиях сетевой кооперации хозяйствующих субъектов и организаций социальной сферы. Включение хозяйствующих субъектов в процесс организации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предпрофильной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и предпрофессиональной подготовки учащихся, ее ориентация на территориальный заказ.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Ориентация образовательных учреждений профобразования на потребности заказчиков образовательной услуги, в том числе не социально слабо защищенных групп населения (несовершеннолетних, обучающихся, граждан, требующих социальной защиты (граждан с ОВЗ, пенсионеров).</w:t>
            </w:r>
          </w:p>
        </w:tc>
      </w:tr>
      <w:tr w:rsidR="000D1FFC" w:rsidTr="001E2C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lastRenderedPageBreak/>
              <w:t>Возможностьповышения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личностного ресурса (общая культура, здоровье, общее и дополнительное образование), возможность личностной самореализации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«Провалы» на социальных рынках, в том числе не ликвидирована очередь в ДОУ среди детей от 0 до 3 лет, слабо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обеспеченыдосуг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и дополнительное образование взрослого населения и т.д.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Особенности городской среды (отсутствие </w:t>
            </w:r>
            <w:r>
              <w:rPr>
                <w:sz w:val="22"/>
                <w:szCs w:val="22"/>
                <w:lang w:eastAsia="en-US"/>
              </w:rPr>
              <w:t xml:space="preserve">территориальных брендов, единого архитектурного облика в понимании «традиция», </w:t>
            </w: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отсутствие обустроенных рекреационных зон, площадок для занятия физической культурой и спортом), ограничивают возможность общего культурного развития, физического развития и организации культурного досуга населения. Невысокий доходный потенциал местного бюджета не позволяет значительно увеличить бюджетные вливания в социальную сферу.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В условиях межотраслевой разобщенности ресурсы каждого отдельно взятого учреждения сферы образования, культуры, спорта ограничены, сетевая кооперация, усиливающая ресурсы слабо развита, отсутствуют переговорные площадки с получателями услуг для формирования индивидуальных образовательных программ - как следствие - образовательные программы общего и дополнительного образования не ориентированы на реализацию задач индивидуального и возрастного развития каждого обучающего. 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Не формируется территориальный заказ для социальной сферы.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Современные технологии организации предоставления услуг в социальной сфере используются в единичных случаях, это влечёт за собой низкое качество или высокие издержки (времени, труда, здоровья) для достижения качества.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Ликвидация «провалов» на социально значимых рынках субъектами предпринимательства, повышение объема и качества предоставляемых социальных услуг, с ориентацией на потребности населения.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Появление </w:t>
            </w:r>
            <w:r>
              <w:rPr>
                <w:sz w:val="22"/>
                <w:szCs w:val="22"/>
                <w:lang w:eastAsia="en-US"/>
              </w:rPr>
              <w:t xml:space="preserve">территориальных брендов, единого архитектурного облика, </w:t>
            </w: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обустройство рекреационных зон, площадок для занятия физической культурой и спортом.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Обустройство городского социокультурного пространства обеспечивает реализацию инициатив, развитие способностей.</w:t>
            </w:r>
          </w:p>
          <w:p w:rsidR="000D1FFC" w:rsidRDefault="000D1FFC">
            <w:pPr>
              <w:pStyle w:val="p9"/>
              <w:spacing w:before="0" w:beforeAutospacing="0" w:after="0" w:afterAutospacing="0" w:line="256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Межотраслевая, межмуниципальная кооперация учреждений сферы образования, культуры, спорта наличие переговорных площадок с получателями услуг обеспечивает формирование индивидуальных образовательных программ, ориентированных на реализацию задач индивидуального и возрастного развития каждого обучающего, с учтём территориального заказа, обеспечивает становление компетенций, позволяющих повысить капитализацию, быть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конкурентноспособным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на трудовом рынке, снижает издержки (времени, труда, здоровья) для достижения качества.</w:t>
            </w:r>
          </w:p>
        </w:tc>
      </w:tr>
    </w:tbl>
    <w:p w:rsidR="001E2C3C" w:rsidRDefault="001E2C3C" w:rsidP="001E2C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E2C3C" w:rsidSect="000D1F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A3"/>
    <w:rsid w:val="000D1FFC"/>
    <w:rsid w:val="001E2C3C"/>
    <w:rsid w:val="005E5637"/>
    <w:rsid w:val="00684FFE"/>
    <w:rsid w:val="009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0DF8"/>
  <w15:chartTrackingRefBased/>
  <w15:docId w15:val="{D4438203-2135-4C55-99F1-8B6BE36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qFormat/>
    <w:rsid w:val="000D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D1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Шопенкова</cp:lastModifiedBy>
  <cp:revision>6</cp:revision>
  <dcterms:created xsi:type="dcterms:W3CDTF">2018-08-15T09:06:00Z</dcterms:created>
  <dcterms:modified xsi:type="dcterms:W3CDTF">2018-09-12T04:15:00Z</dcterms:modified>
</cp:coreProperties>
</file>