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right="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Заключение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по результатам финансово-экономической экспертизы </w:t>
      </w:r>
      <w:r>
        <w:rPr>
          <w:rFonts w:cs="Times New Roman" w:ascii="Times New Roman" w:hAnsi="Times New Roman"/>
          <w:b/>
          <w:bCs/>
          <w:sz w:val="28"/>
          <w:szCs w:val="28"/>
          <w:u w:val="none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«О внесении изменений             в постановление администрации города Канска от 12.12.2016 № 1365 «Об утверждении муниципальной программы города Канска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right="0"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«Городское хозяйство»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right="0"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(проект внесен УС и ЖКХ администрации города Канска письмом от </w:t>
      </w:r>
      <w:r>
        <w:rPr>
          <w:rFonts w:cs="Times New Roman" w:ascii="Times New Roman" w:hAnsi="Times New Roman"/>
          <w:sz w:val="28"/>
          <w:szCs w:val="28"/>
          <w:u w:val="none"/>
        </w:rPr>
        <w:t>02</w:t>
      </w:r>
      <w:r>
        <w:rPr>
          <w:rFonts w:cs="Times New Roman" w:ascii="Times New Roman" w:hAnsi="Times New Roman"/>
          <w:sz w:val="28"/>
          <w:szCs w:val="28"/>
          <w:u w:val="none"/>
        </w:rPr>
        <w:t>.0</w:t>
      </w:r>
      <w:r>
        <w:rPr>
          <w:rFonts w:cs="Times New Roman" w:ascii="Times New Roman" w:hAnsi="Times New Roman"/>
          <w:sz w:val="28"/>
          <w:szCs w:val="28"/>
          <w:u w:val="none"/>
        </w:rPr>
        <w:t>6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.2025 № </w:t>
      </w:r>
      <w:r>
        <w:rPr>
          <w:rFonts w:cs="Times New Roman" w:ascii="Times New Roman" w:hAnsi="Times New Roman"/>
          <w:sz w:val="28"/>
          <w:szCs w:val="28"/>
          <w:u w:val="none"/>
        </w:rPr>
        <w:t>Ис-83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)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 1.4 Плана работы Контрольно-счетной комиссии города Канска на 2025 год.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Цель экспертизы: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Предмет экспертизы: </w:t>
      </w:r>
      <w:r>
        <w:rPr>
          <w:rFonts w:cs="Times New Roman" w:ascii="Times New Roman" w:hAnsi="Times New Roman"/>
          <w:bCs/>
          <w:sz w:val="28"/>
          <w:szCs w:val="28"/>
          <w:u w:val="none"/>
        </w:rPr>
        <w:t xml:space="preserve">проект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  <w:u w:val="none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  <w:u w:val="none"/>
        </w:rPr>
        <w:t>с «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03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» </w:t>
      </w:r>
      <w:r>
        <w:rPr>
          <w:rFonts w:cs="Times New Roman" w:ascii="Times New Roman" w:hAnsi="Times New Roman"/>
          <w:sz w:val="28"/>
          <w:szCs w:val="28"/>
          <w:u w:val="none"/>
        </w:rPr>
        <w:t>июня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2025 года                                         по «</w:t>
      </w:r>
      <w:r>
        <w:rPr>
          <w:rFonts w:cs="Times New Roman" w:ascii="Times New Roman" w:hAnsi="Times New Roman"/>
          <w:sz w:val="28"/>
          <w:szCs w:val="28"/>
          <w:u w:val="none"/>
        </w:rPr>
        <w:t>03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» </w:t>
      </w:r>
      <w:r>
        <w:rPr>
          <w:rFonts w:cs="Times New Roman" w:ascii="Times New Roman" w:hAnsi="Times New Roman"/>
          <w:sz w:val="28"/>
          <w:szCs w:val="28"/>
          <w:u w:val="none"/>
        </w:rPr>
        <w:t>июня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2025 года.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- Постановление администрации города Канска от 22.08.2013 № 1096-п (с внесенными изменениями) «Об утверждении Порядка принятия решений                о разработке муниципальных программ города Канска, их формировании                     и реализации»;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- Постановление администрации города Канска от 22.08.2013 № 1095 (с внесенными изменениями) «Об утверждении перечня муниципальных программ города Канска».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 1.4 Плана работы Контрольно-счетной комиссии города Канска на 2025 год, проведена финансово-экономическая экспертиза </w:t>
      </w:r>
      <w:r>
        <w:rPr>
          <w:rFonts w:cs="Times New Roman" w:ascii="Times New Roman" w:hAnsi="Times New Roman"/>
          <w:bCs/>
          <w:sz w:val="28"/>
          <w:szCs w:val="28"/>
          <w:u w:val="none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  <w:u w:val="none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 (далее - Проект постановления, муниципальная программа, программа), по результатам которой установлено следующее:</w:t>
      </w:r>
    </w:p>
    <w:p>
      <w:pPr>
        <w:pStyle w:val="ListParagraph"/>
        <w:widowControl/>
        <w:tabs>
          <w:tab w:val="clear" w:pos="720"/>
          <w:tab w:val="left" w:pos="993" w:leader="none"/>
        </w:tabs>
        <w:bidi w:val="0"/>
        <w:spacing w:lineRule="auto" w:line="259" w:before="0" w:after="0"/>
        <w:ind w:left="0" w:right="0" w:firstLine="709"/>
        <w:contextualSpacing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1. Проект </w:t>
      </w:r>
      <w:r>
        <w:rPr>
          <w:rFonts w:cs="Times New Roman" w:ascii="Times New Roman" w:hAnsi="Times New Roman"/>
          <w:bCs/>
          <w:sz w:val="28"/>
          <w:szCs w:val="28"/>
          <w:u w:val="none"/>
        </w:rPr>
        <w:t xml:space="preserve">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«О внесении изменений в постановление администрации города Канска от 12.12.2016 №1365 «Об утверждении муниципальной программы города Канска «Городское хозяйство» предоставлен с сопроводительным письмом от </w:t>
      </w:r>
      <w:r>
        <w:rPr>
          <w:rFonts w:cs="Times New Roman" w:ascii="Times New Roman" w:hAnsi="Times New Roman"/>
          <w:sz w:val="28"/>
          <w:szCs w:val="28"/>
          <w:u w:val="none"/>
        </w:rPr>
        <w:t>0</w:t>
      </w:r>
      <w:r>
        <w:rPr>
          <w:rFonts w:cs="Times New Roman" w:ascii="Times New Roman" w:hAnsi="Times New Roman"/>
          <w:sz w:val="28"/>
          <w:szCs w:val="28"/>
          <w:u w:val="none"/>
        </w:rPr>
        <w:t>2.0</w:t>
      </w:r>
      <w:r>
        <w:rPr>
          <w:rFonts w:cs="Times New Roman" w:ascii="Times New Roman" w:hAnsi="Times New Roman"/>
          <w:sz w:val="28"/>
          <w:szCs w:val="28"/>
          <w:u w:val="none"/>
        </w:rPr>
        <w:t>6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.2025 № </w:t>
      </w:r>
      <w:r>
        <w:rPr>
          <w:rFonts w:cs="Times New Roman" w:ascii="Times New Roman" w:hAnsi="Times New Roman"/>
          <w:sz w:val="28"/>
          <w:szCs w:val="28"/>
          <w:u w:val="none"/>
        </w:rPr>
        <w:t>Ис-83</w:t>
      </w:r>
      <w:r>
        <w:rPr>
          <w:rFonts w:cs="Times New Roman" w:ascii="Times New Roman" w:hAnsi="Times New Roman"/>
          <w:sz w:val="28"/>
          <w:szCs w:val="28"/>
          <w:u w:val="none"/>
        </w:rPr>
        <w:t>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№1095 (с внесенными изменениями) «Об утверждении перечня муниципальных программ города Канска». Разработчиком Программы является УС и ЖКХ администрации города Канска.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Проект муниципальной программы содержит основные направления развития данной сферы, целью программы является, создание условий                   для обеспечения жизнедеятельности города Канска.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160"/>
        <w:ind w:left="0" w:right="0" w:firstLine="709"/>
        <w:contextualSpacing/>
        <w:jc w:val="both"/>
        <w:rPr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Приоритеты государственной политики в жилищно-коммунальной сфере определены в соответствии с Указом Президента РФ от 07.05.2012                     № 600 «О мерах по обеспечению граждан Российской Федерации доступным и комфортным жильем и повышению качества жилищно-коммунальных услуг, а также Концепцией долгосрочного социально-экономического развития Российской Федерации на период до 2020 года утвержденной распоряжением Правительства Российской Федерации от 17.11.2008 №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 1662-р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>(в ред. распоряжения Правительства РФ от 08.08.2009 № 1121-р).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16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Основными задачами для достижения целей являются: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1.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движения.</w:t>
      </w:r>
    </w:p>
    <w:p>
      <w:pPr>
        <w:pStyle w:val="Normal"/>
        <w:tabs>
          <w:tab w:val="clear" w:pos="720"/>
          <w:tab w:val="left" w:pos="736" w:leader="none"/>
          <w:tab w:val="left" w:pos="845" w:leader="none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2. Обеспечение населения города качественными жилищно-коммунальными услугами в условиях энергосбережения и повышения энергетической эффективности.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3.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7"/>
          <w:szCs w:val="27"/>
        </w:rPr>
      </w:pPr>
      <w:r>
        <w:rPr>
          <w:rFonts w:ascii="Times New Roman" w:hAnsi="Times New Roman"/>
          <w:sz w:val="28"/>
          <w:szCs w:val="28"/>
          <w:u w:val="none"/>
        </w:rPr>
        <w:t>4. Обеспечение комфортных условий для проживания горожан.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highlight w:val="white"/>
          <w:u w:val="none"/>
        </w:rPr>
      </w:pPr>
      <w:r>
        <w:rPr>
          <w:rFonts w:ascii="Times New Roman" w:hAnsi="Times New Roman"/>
          <w:sz w:val="28"/>
          <w:szCs w:val="28"/>
          <w:highlight w:val="white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Анализ структуры и содержание муниципальной программы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Структура муниципальной программы города Канска «Городское хозяйство» предусматривает реализацию четырех подпрограмм и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трех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 отдельных мероприятий: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• 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подпрограмма 1- 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 xml:space="preserve">«Развитие транспортной системы». 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  <w:u w:val="none"/>
          <w:lang w:eastAsia="zh-CN"/>
        </w:rPr>
        <w:t>Цель:</w:t>
      </w:r>
      <w:r>
        <w:rPr>
          <w:rFonts w:ascii="Times New Roman" w:hAnsi="Times New Roman"/>
          <w:sz w:val="28"/>
          <w:szCs w:val="28"/>
          <w:u w:val="none"/>
        </w:rPr>
        <w:t xml:space="preserve">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 безопасности дорожного движения.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Задачи: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1. обеспечение сохранности, содержания, ремонт, модернизация и развитие сети автомобильных дорог города;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2. обеспечение населения услугами общественного транспорта равной доступностью;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u w:val="none"/>
          <w:lang w:val="ru-RU" w:eastAsia="ru-RU" w:bidi="ar-SA"/>
        </w:rPr>
        <w:t>3. обеспечение дорожной безопасности.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1" w:leader="none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 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подпрограмма 2 - </w:t>
      </w:r>
      <w:r>
        <w:rPr>
          <w:rFonts w:ascii="Times New Roman" w:hAnsi="Times New Roman"/>
          <w:sz w:val="28"/>
          <w:szCs w:val="28"/>
          <w:u w:val="none"/>
        </w:rPr>
        <w:t>«Реформирование и модернизация жилищно-коммунального хозяйства и повышение энергетической эффективности».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Цель: обеспечение населения города качественными жилищно-коммунальными услугами в условиях  энергосбережения и повышения энергетической эффективности.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Задачи: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1. развитие, модернизация и капитальный ремонт объектов коммунальной инфраструктуры, находящиеся в муниципальной собственности города Канска;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2. создание условий для безубыточной деятельности организаций коммунального комплекса;</w:t>
      </w:r>
    </w:p>
    <w:p>
      <w:pPr>
        <w:pStyle w:val="Normal"/>
        <w:tabs>
          <w:tab w:val="clear" w:pos="720"/>
          <w:tab w:val="left" w:pos="335" w:leader="none"/>
          <w:tab w:val="left" w:pos="498" w:leader="none"/>
        </w:tabs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3. энергосбережение и повышение энергетической эффективности;</w:t>
      </w:r>
    </w:p>
    <w:p>
      <w:pPr>
        <w:pStyle w:val="Normal"/>
        <w:tabs>
          <w:tab w:val="clear" w:pos="720"/>
          <w:tab w:val="left" w:pos="993" w:leader="none"/>
        </w:tabs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4. обеспечение населения города чистой питьевой водой.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overflowPunct w:val="true"/>
        <w:spacing w:lineRule="auto" w:line="240" w:before="0" w:after="0"/>
        <w:ind w:left="0" w:right="0"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подпрограмма 3 - «Обращение с твердыми бытовыми отходами                              на территории города».</w:t>
      </w:r>
    </w:p>
    <w:p>
      <w:pPr>
        <w:pStyle w:val="Normal"/>
        <w:spacing w:lineRule="auto" w:line="240"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Цель: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 на территории города Канска.</w:t>
      </w:r>
    </w:p>
    <w:p>
      <w:pPr>
        <w:pStyle w:val="Normal"/>
        <w:spacing w:lineRule="auto" w:line="240"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Задачи: сбор, обезвреживание и вывоз отходов, информационное обеспечение в области обращения с отходами.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подпрограмма 4 - «Благоустройство города». 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Цель: обеспечение комфортных условий для проживания горожан.</w:t>
      </w:r>
    </w:p>
    <w:p>
      <w:pPr>
        <w:pStyle w:val="Normal"/>
        <w:tabs>
          <w:tab w:val="clear" w:pos="720"/>
          <w:tab w:val="left" w:pos="567" w:leader="none"/>
        </w:tabs>
        <w:spacing w:lineRule="auto" w:line="240" w:before="0" w:after="0"/>
        <w:ind w:left="0" w:right="0" w:firstLine="709"/>
        <w:jc w:val="both"/>
        <w:rPr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Задачи:</w:t>
      </w:r>
    </w:p>
    <w:p>
      <w:pPr>
        <w:pStyle w:val="ConsPlusCell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1. обеспечение уличного освещения улично-дорожной сети города;</w:t>
      </w:r>
    </w:p>
    <w:p>
      <w:pPr>
        <w:pStyle w:val="ConsPlusCel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2. повышение уровня благоустроенности городской природной среды.</w:t>
      </w:r>
    </w:p>
    <w:p>
      <w:pPr>
        <w:pStyle w:val="ConsPlusCell"/>
        <w:tabs>
          <w:tab w:val="clear" w:pos="720"/>
          <w:tab w:val="left" w:pos="993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Отдельные мероприятие: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Мероприятие 1 - 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  <w:u w:val="none"/>
        </w:rPr>
        <w:t>Выполнение отдельных государственных полномочий по организации проведения мероприятий по отлову и содержанию безнадзорных животных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».</w:t>
      </w:r>
    </w:p>
    <w:p>
      <w:pPr>
        <w:pStyle w:val="ListParagraph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Цель: сокращение численности безнадзорных животных до экологически безопасного и социально-приемлемого уровня.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мероприятие 2 - 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  <w:u w:val="none"/>
        </w:rPr>
        <w:t>Обеспечение системы управления муниципальной программой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 xml:space="preserve">». </w:t>
      </w:r>
    </w:p>
    <w:p>
      <w:pPr>
        <w:pStyle w:val="ListParagraph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Цель: создание условий для эффективного, ответственного и прозрачного управления в рамках выполнения установленных функций и полномочий, а также повышения эффективности расходов городского бюджета.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мероприятие 3 - «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  <w:lang w:eastAsia="zh-CN"/>
        </w:rPr>
        <w:t>Мероприятия в области обеспечения капитального ремонта, реконструкции и строительства гидротехнических сооружений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Цель: разработка ПСД и строительство сооружений берегоукрепления   р. Кан для защиты жилой застройки и объектов народного хозяйства от затопления и разрушения.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</w:r>
    </w:p>
    <w:p>
      <w:pPr>
        <w:pStyle w:val="Style21"/>
        <w:tabs>
          <w:tab w:val="clear" w:pos="720"/>
          <w:tab w:val="left" w:pos="993" w:leader="none"/>
        </w:tabs>
        <w:spacing w:before="0" w:after="0"/>
        <w:ind w:left="0" w:right="0" w:firstLine="709"/>
        <w:jc w:val="center"/>
        <w:rPr>
          <w:b/>
          <w:b/>
          <w:szCs w:val="28"/>
        </w:rPr>
      </w:pPr>
      <w:r>
        <w:rPr>
          <w:b/>
          <w:sz w:val="28"/>
          <w:szCs w:val="28"/>
          <w:u w:val="none"/>
        </w:rPr>
        <w:t>Анализ ресурсного обеспечения</w:t>
      </w:r>
    </w:p>
    <w:p>
      <w:pPr>
        <w:pStyle w:val="Style21"/>
        <w:tabs>
          <w:tab w:val="clear" w:pos="720"/>
          <w:tab w:val="left" w:pos="993" w:leader="none"/>
        </w:tabs>
        <w:spacing w:before="0" w:after="0"/>
        <w:ind w:left="0" w:right="0" w:firstLine="709"/>
        <w:jc w:val="center"/>
        <w:rPr>
          <w:sz w:val="27"/>
          <w:szCs w:val="27"/>
        </w:rPr>
      </w:pPr>
      <w:r>
        <w:rPr>
          <w:b/>
          <w:sz w:val="28"/>
          <w:szCs w:val="28"/>
          <w:u w:val="none"/>
        </w:rPr>
        <w:t>(анализ структуры управления и финансовые ресурсы)</w:t>
      </w:r>
    </w:p>
    <w:p>
      <w:pPr>
        <w:pStyle w:val="Style21"/>
        <w:ind w:firstLine="708"/>
        <w:rPr>
          <w:sz w:val="28"/>
          <w:szCs w:val="28"/>
        </w:rPr>
      </w:pPr>
      <w:r>
        <w:rPr>
          <w:sz w:val="28"/>
          <w:szCs w:val="28"/>
          <w:u w:val="none"/>
        </w:rPr>
        <w:t>В предоставленном проекте муниципальной программы «Городское хозяйство» в новой редакции внесены следующие изменения.</w:t>
      </w:r>
    </w:p>
    <w:p>
      <w:pPr>
        <w:pStyle w:val="Style21"/>
        <w:ind w:firstLine="708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Увеличить на 2025 год общий объем финансирования муниципальной программы «Городское хозяйство» на </w:t>
      </w:r>
      <w:r>
        <w:rPr>
          <w:b w:val="false"/>
          <w:bCs w:val="false"/>
          <w:sz w:val="28"/>
          <w:szCs w:val="28"/>
        </w:rPr>
        <w:t>168 521 327,11</w:t>
      </w:r>
      <w:r>
        <w:rPr>
          <w:b w:val="false"/>
          <w:bCs w:val="false"/>
          <w:sz w:val="28"/>
          <w:szCs w:val="28"/>
        </w:rPr>
        <w:t xml:space="preserve"> рублей, в том числе:</w:t>
      </w:r>
    </w:p>
    <w:p>
      <w:pPr>
        <w:pStyle w:val="Style21"/>
        <w:ind w:firstLine="708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- за счет средств из краевого бюджета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167 923 347,31</w:t>
      </w:r>
      <w:r>
        <w:rPr>
          <w:b w:val="false"/>
          <w:bCs w:val="false"/>
          <w:sz w:val="28"/>
          <w:szCs w:val="28"/>
        </w:rPr>
        <w:t xml:space="preserve"> рублей;</w:t>
      </w:r>
    </w:p>
    <w:p>
      <w:pPr>
        <w:pStyle w:val="Style21"/>
        <w:ind w:firstLine="708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- за счет средств из городского бюджета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597 979,80</w:t>
      </w:r>
      <w:r>
        <w:rPr>
          <w:b w:val="false"/>
          <w:bCs w:val="false"/>
          <w:sz w:val="28"/>
          <w:szCs w:val="28"/>
        </w:rPr>
        <w:t xml:space="preserve"> рублей.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В ходе анализа ресурсного обеспечения установлено: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- структура управления программой соответствует поставленным целям и задачам. Ответственным исполнителем и главным распорядителем является УС и ЖКХ администрации города Канска. За 2025-2027 годы асс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 xml:space="preserve">игнований предусмотрено в сумме </w:t>
      </w:r>
      <w:r>
        <w:rPr>
          <w:rFonts w:eastAsia="Calibri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en-US" w:bidi="ar-SA"/>
        </w:rPr>
        <w:t xml:space="preserve">1 </w:t>
      </w:r>
      <w:r>
        <w:rPr>
          <w:rFonts w:eastAsia="Calibri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en-US" w:bidi="ar-SA"/>
        </w:rPr>
        <w:t>483 485 790,65</w:t>
      </w:r>
      <w:r>
        <w:rPr>
          <w:rFonts w:eastAsia="Calibri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en-US" w:bidi="ar-SA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>рубл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>ей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>.</w:t>
      </w:r>
    </w:p>
    <w:p>
      <w:pPr>
        <w:pStyle w:val="Style21"/>
        <w:ind w:firstLine="708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Увеличить</w:t>
      </w:r>
      <w:r>
        <w:rPr>
          <w:b w:val="false"/>
          <w:bCs w:val="false"/>
          <w:sz w:val="28"/>
          <w:szCs w:val="28"/>
        </w:rPr>
        <w:t xml:space="preserve"> на 202</w:t>
      </w:r>
      <w:r>
        <w:rPr>
          <w:b w:val="false"/>
          <w:bCs w:val="false"/>
          <w:sz w:val="28"/>
          <w:szCs w:val="28"/>
        </w:rPr>
        <w:t>7</w:t>
      </w:r>
      <w:r>
        <w:rPr>
          <w:b w:val="false"/>
          <w:bCs w:val="false"/>
          <w:sz w:val="28"/>
          <w:szCs w:val="28"/>
        </w:rPr>
        <w:t xml:space="preserve"> год общий объем финансирования муниципальной программы «Городское хозяйство» на </w:t>
      </w:r>
      <w:r>
        <w:rPr>
          <w:b w:val="false"/>
          <w:bCs w:val="false"/>
          <w:sz w:val="28"/>
          <w:szCs w:val="28"/>
        </w:rPr>
        <w:t>800 000,00</w:t>
      </w:r>
      <w:r>
        <w:rPr>
          <w:b w:val="false"/>
          <w:bCs w:val="false"/>
          <w:sz w:val="28"/>
          <w:szCs w:val="28"/>
        </w:rPr>
        <w:t xml:space="preserve"> рубл</w:t>
      </w:r>
      <w:r>
        <w:rPr>
          <w:b w:val="false"/>
          <w:bCs w:val="false"/>
          <w:sz w:val="28"/>
          <w:szCs w:val="28"/>
        </w:rPr>
        <w:t>ей</w:t>
      </w:r>
      <w:r>
        <w:rPr>
          <w:b w:val="false"/>
          <w:bCs w:val="false"/>
          <w:sz w:val="28"/>
          <w:szCs w:val="28"/>
        </w:rPr>
        <w:t xml:space="preserve"> за счет средств городского бюджета</w:t>
      </w:r>
      <w:r>
        <w:rPr>
          <w:rFonts w:cs="Times New Roman"/>
          <w:b w:val="false"/>
          <w:bCs w:val="false"/>
          <w:sz w:val="28"/>
          <w:szCs w:val="28"/>
          <w:u w:val="none"/>
        </w:rPr>
        <w:t>.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7"/>
          <w:szCs w:val="27"/>
        </w:rPr>
      </w:pPr>
      <w:r>
        <w:rPr>
          <w:rFonts w:cs="Times New Roman" w:ascii="Times New Roman" w:hAnsi="Times New Roman"/>
          <w:b w:val="false"/>
          <w:bCs/>
          <w:sz w:val="28"/>
          <w:szCs w:val="28"/>
          <w:u w:val="none"/>
        </w:rPr>
        <w:t>под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>программа 1 «Развитие транспортной системы».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Данная подпрограмма предусматривает средства городского, федерального и краевого бюджетов для развития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 в сумме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8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34 291 358,59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рублей </w:t>
      </w:r>
      <w:bookmarkStart w:id="0" w:name="_GoBack2"/>
      <w:bookmarkEnd w:id="0"/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(2025 —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4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78 281 275,59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рублей, 2026 —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176 711 602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,00 рубля, 2027 — 179 298 481,00 рубль).</w:t>
      </w:r>
    </w:p>
    <w:p>
      <w:pPr>
        <w:pStyle w:val="Style21"/>
        <w:ind w:left="0" w:right="0" w:firstLine="709"/>
        <w:rPr>
          <w:sz w:val="28"/>
          <w:szCs w:val="28"/>
        </w:rPr>
      </w:pPr>
      <w:bookmarkStart w:id="1" w:name="_Hlk107571328"/>
      <w:r>
        <w:rPr>
          <w:bCs/>
          <w:sz w:val="28"/>
          <w:szCs w:val="28"/>
        </w:rPr>
        <w:t xml:space="preserve">Увеличение расходов </w:t>
      </w:r>
      <w:bookmarkEnd w:id="1"/>
      <w:r>
        <w:rPr>
          <w:bCs/>
          <w:sz w:val="28"/>
          <w:szCs w:val="28"/>
        </w:rPr>
        <w:t xml:space="preserve">в 2025 году по подпрограмме </w:t>
      </w:r>
      <w:r>
        <w:rPr>
          <w:b w:val="false"/>
          <w:bCs w:val="false"/>
          <w:sz w:val="28"/>
          <w:szCs w:val="28"/>
        </w:rPr>
        <w:t xml:space="preserve">1 «Развитие транспортной системы» на </w:t>
      </w:r>
      <w:r>
        <w:rPr>
          <w:b w:val="false"/>
          <w:bCs w:val="false"/>
          <w:sz w:val="28"/>
          <w:szCs w:val="28"/>
        </w:rPr>
        <w:t>16 561 000,00</w:t>
      </w:r>
      <w:r>
        <w:rPr>
          <w:b w:val="false"/>
          <w:bCs w:val="false"/>
          <w:sz w:val="28"/>
          <w:szCs w:val="28"/>
        </w:rPr>
        <w:t xml:space="preserve"> рубл</w:t>
      </w:r>
      <w:r>
        <w:rPr>
          <w:b w:val="false"/>
          <w:bCs w:val="false"/>
          <w:sz w:val="28"/>
          <w:szCs w:val="28"/>
        </w:rPr>
        <w:t>ь</w:t>
      </w:r>
      <w:r>
        <w:rPr>
          <w:b w:val="false"/>
          <w:bCs w:val="false"/>
          <w:sz w:val="28"/>
          <w:szCs w:val="28"/>
        </w:rPr>
        <w:t>, в том числе:</w:t>
      </w:r>
    </w:p>
    <w:p>
      <w:pPr>
        <w:pStyle w:val="Style21"/>
        <w:ind w:left="0" w:right="0" w:firstLine="709"/>
        <w:rPr>
          <w:sz w:val="28"/>
          <w:szCs w:val="28"/>
        </w:rPr>
      </w:pPr>
      <w:bookmarkStart w:id="2" w:name="_Hlk128383138"/>
      <w:r>
        <w:rPr>
          <w:bCs/>
          <w:sz w:val="28"/>
          <w:szCs w:val="28"/>
        </w:rPr>
        <w:t xml:space="preserve">- за счет средств краевого бюджета на </w:t>
      </w:r>
      <w:r>
        <w:rPr>
          <w:bCs/>
          <w:sz w:val="28"/>
          <w:szCs w:val="28"/>
        </w:rPr>
        <w:t>16 561 0</w:t>
      </w:r>
      <w:r>
        <w:rPr>
          <w:bCs/>
          <w:sz w:val="28"/>
          <w:szCs w:val="28"/>
        </w:rPr>
        <w:t>00,00 рублей</w:t>
      </w:r>
      <w:bookmarkEnd w:id="2"/>
      <w:r>
        <w:rPr>
          <w:bCs/>
          <w:sz w:val="28"/>
          <w:szCs w:val="28"/>
        </w:rPr>
        <w:t>.</w:t>
      </w:r>
    </w:p>
    <w:p>
      <w:pPr>
        <w:pStyle w:val="Style21"/>
        <w:ind w:left="0" w:right="0" w:firstLine="709"/>
        <w:rPr>
          <w:sz w:val="28"/>
          <w:szCs w:val="28"/>
        </w:rPr>
      </w:pPr>
      <w:r>
        <w:rPr>
          <w:bCs/>
          <w:sz w:val="28"/>
          <w:szCs w:val="28"/>
        </w:rPr>
        <w:t>Увеличение по мероприятиям: «Выполнение работ по перекрытию проезжей части» - 12 441,80 руб</w:t>
      </w:r>
      <w:r>
        <w:rPr>
          <w:bCs/>
          <w:sz w:val="28"/>
          <w:szCs w:val="28"/>
        </w:rPr>
        <w:t>лей</w:t>
      </w:r>
      <w:r>
        <w:rPr>
          <w:bCs/>
          <w:sz w:val="28"/>
          <w:szCs w:val="28"/>
        </w:rPr>
        <w:t>; «Реализация мероприятий, направленных на повышение безопасности дорожного движения за счет средств муниципального дорожного фонда города Канска» - 12 995 000,00 руб</w:t>
      </w:r>
      <w:r>
        <w:rPr>
          <w:bCs/>
          <w:sz w:val="28"/>
          <w:szCs w:val="28"/>
        </w:rPr>
        <w:t>лей</w:t>
      </w:r>
      <w:r>
        <w:rPr>
          <w:bCs/>
          <w:sz w:val="28"/>
          <w:szCs w:val="28"/>
        </w:rPr>
        <w:t>; «Обустройство участков улично-дорожной сети вблизи образовательных организаций для обеспечения безопасности дорожного движения за счет средств муниципального дорожного фонда города Канска» - 3 648 000,00 руб</w:t>
      </w:r>
      <w:r>
        <w:rPr>
          <w:bCs/>
          <w:sz w:val="28"/>
          <w:szCs w:val="28"/>
        </w:rPr>
        <w:t>лей</w:t>
      </w:r>
      <w:r>
        <w:rPr>
          <w:bCs/>
          <w:sz w:val="28"/>
          <w:szCs w:val="28"/>
        </w:rPr>
        <w:t>.</w:t>
      </w:r>
    </w:p>
    <w:p>
      <w:pPr>
        <w:pStyle w:val="Style21"/>
        <w:ind w:left="0" w:right="0" w:firstLine="709"/>
        <w:rPr>
          <w:sz w:val="28"/>
          <w:szCs w:val="28"/>
        </w:rPr>
      </w:pPr>
      <w:r>
        <w:rPr>
          <w:rFonts w:cs="Times New Roman"/>
          <w:b w:val="false"/>
          <w:bCs/>
          <w:color w:val="000000"/>
          <w:sz w:val="28"/>
          <w:szCs w:val="28"/>
          <w:u w:val="none"/>
        </w:rPr>
        <w:t>Уменьшение по мероприятиям: «Обустройство участков улично-дорожной сети вблизи образовательных организаций для обеспечения безопасности дорожного движения за счет средств муниципального дорожного фонда города Канска» - 12 076,10 руб</w:t>
      </w:r>
      <w:r>
        <w:rPr>
          <w:rFonts w:cs="Times New Roman"/>
          <w:b w:val="false"/>
          <w:bCs/>
          <w:color w:val="000000"/>
          <w:sz w:val="28"/>
          <w:szCs w:val="28"/>
          <w:u w:val="none"/>
        </w:rPr>
        <w:t>лей</w:t>
      </w:r>
      <w:r>
        <w:rPr>
          <w:rFonts w:cs="Times New Roman"/>
          <w:b w:val="false"/>
          <w:bCs/>
          <w:color w:val="000000"/>
          <w:sz w:val="28"/>
          <w:szCs w:val="28"/>
          <w:u w:val="none"/>
        </w:rPr>
        <w:t>; «Реализация мероприятий, направленных на повышение безопасности дорожного движения за счет средств муниципального дорожного фонда города Канска» - 365,70 руб</w:t>
      </w:r>
      <w:r>
        <w:rPr>
          <w:rFonts w:cs="Times New Roman"/>
          <w:b w:val="false"/>
          <w:bCs/>
          <w:color w:val="000000"/>
          <w:sz w:val="28"/>
          <w:szCs w:val="28"/>
          <w:u w:val="none"/>
        </w:rPr>
        <w:t>лей</w:t>
      </w:r>
      <w:r>
        <w:rPr>
          <w:rFonts w:cs="Times New Roman"/>
          <w:b w:val="false"/>
          <w:bCs/>
          <w:color w:val="000000"/>
          <w:sz w:val="28"/>
          <w:szCs w:val="28"/>
          <w:u w:val="none"/>
        </w:rPr>
        <w:t>; «Организация мест остановок общественного пассажирского транспорта» - 82 000,00 руб</w:t>
      </w:r>
      <w:r>
        <w:rPr>
          <w:rFonts w:cs="Times New Roman"/>
          <w:b w:val="false"/>
          <w:bCs/>
          <w:color w:val="000000"/>
          <w:sz w:val="28"/>
          <w:szCs w:val="28"/>
          <w:u w:val="none"/>
        </w:rPr>
        <w:t>лей</w:t>
      </w:r>
      <w:r>
        <w:rPr>
          <w:rFonts w:cs="Times New Roman"/>
          <w:b w:val="false"/>
          <w:bCs/>
          <w:color w:val="000000"/>
          <w:sz w:val="28"/>
          <w:szCs w:val="28"/>
          <w:u w:val="none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1" w:leader="none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sz w:val="27"/>
          <w:szCs w:val="27"/>
          <w:u w:val="none"/>
        </w:rPr>
      </w:pP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по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дпрограмма 2 - </w:t>
      </w:r>
      <w:r>
        <w:rPr>
          <w:rFonts w:ascii="Times New Roman" w:hAnsi="Times New Roman"/>
          <w:sz w:val="28"/>
          <w:szCs w:val="28"/>
          <w:u w:val="none"/>
        </w:rPr>
        <w:t>«Реформирование и модернизация жилищно-коммунального хозяйства и повышение энергетической эффективности».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Данная подпрограмма предусматривает средства городского и краевого бюджетов для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u w:val="none"/>
          <w:lang w:val="ru-RU" w:eastAsia="en-US" w:bidi="ar-SA"/>
        </w:rPr>
        <w:t>обеспечения населения города качественными жилищно-коммунальными услугами в условиях энергосбережения и повышения энергетической эффективности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 в сумме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u w:val="none"/>
          <w:lang w:val="ru-RU" w:eastAsia="en-US" w:bidi="ar-SA"/>
        </w:rPr>
        <w:t>211 550 970,27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 рубл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ей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 </w:t>
      </w:r>
      <w:bookmarkStart w:id="3" w:name="_GoBack12"/>
      <w:bookmarkEnd w:id="3"/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(2025 -                       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u w:val="none"/>
          <w:lang w:val="ru-RU" w:eastAsia="en-US" w:bidi="ar-SA"/>
        </w:rPr>
        <w:t>165 759 570,27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 рубл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ей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, 2026 и 2027 — 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по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u w:val="none"/>
          <w:lang w:val="ru-RU" w:eastAsia="en-US" w:bidi="ar-SA"/>
        </w:rPr>
        <w:t xml:space="preserve"> 22 895 700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,00 рублей соответственно).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none"/>
        </w:rPr>
        <w:t>По по</w:t>
      </w:r>
      <w:r>
        <w:rPr>
          <w:rFonts w:ascii="Times New Roman" w:hAnsi="Times New Roman"/>
          <w:b w:val="false"/>
          <w:bCs w:val="false"/>
          <w:sz w:val="28"/>
          <w:szCs w:val="28"/>
          <w:u w:val="none"/>
        </w:rPr>
        <w:t xml:space="preserve">дпрограмме 2 «Реформирование и модернизация жилищно-коммунального хозяйства и повышение энергетической эффективности» произошло </w:t>
      </w:r>
      <w:r>
        <w:rPr>
          <w:rFonts w:eastAsia="Calibri" w:cs="Tahoma" w:ascii="Times New Roman" w:hAnsi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en-US" w:bidi="ar-SA"/>
        </w:rPr>
        <w:t xml:space="preserve">увеличение на </w:t>
      </w:r>
      <w:r>
        <w:rPr>
          <w:rFonts w:eastAsia="Calibri" w:cs="Tahoma" w:ascii="Times New Roman" w:hAnsi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en-US" w:bidi="ar-SA"/>
        </w:rPr>
        <w:t>137 329 647,01</w:t>
      </w:r>
      <w:r>
        <w:rPr>
          <w:rFonts w:eastAsia="Calibri" w:cs="Tahoma" w:ascii="Times New Roman" w:hAnsi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en-US" w:bidi="ar-SA"/>
        </w:rPr>
        <w:t xml:space="preserve"> рубл</w:t>
      </w:r>
      <w:r>
        <w:rPr>
          <w:rFonts w:eastAsia="Calibri" w:cs="Tahoma" w:ascii="Times New Roman" w:hAnsi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en-US" w:bidi="ar-SA"/>
        </w:rPr>
        <w:t>ей</w:t>
      </w:r>
      <w:r>
        <w:rPr>
          <w:rFonts w:eastAsia="Calibri" w:cs="Tahoma" w:ascii="Times New Roman" w:hAnsi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en-US" w:bidi="ar-SA"/>
        </w:rPr>
        <w:t xml:space="preserve"> по мероприятию «</w:t>
      </w:r>
      <w:r>
        <w:rPr>
          <w:rFonts w:eastAsia="Calibri" w:cs="Tahoma" w:ascii="Times New Roman" w:hAnsi="Times New Roman"/>
          <w:b w:val="false"/>
          <w:bCs/>
          <w:color w:val="auto"/>
          <w:kern w:val="0"/>
          <w:sz w:val="28"/>
          <w:szCs w:val="28"/>
          <w:u w:val="none"/>
          <w:lang w:val="ru-RU" w:eastAsia="en-US" w:bidi="ar-SA"/>
        </w:rPr>
        <w:t>Строительство муниципальных объектов коммунальной и транспортной инфраструктуры</w:t>
      </w:r>
      <w:r>
        <w:rPr>
          <w:rFonts w:eastAsia="Calibri" w:cs="Tahoma" w:ascii="Times New Roman" w:hAnsi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en-US" w:bidi="ar-SA"/>
        </w:rPr>
        <w:t>», в том числе:</w:t>
      </w:r>
    </w:p>
    <w:p>
      <w:pPr>
        <w:pStyle w:val="Style21"/>
        <w:ind w:left="0" w:right="0" w:firstLine="709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- за счет средств из краевого бюджета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142 343 504,00</w:t>
      </w:r>
      <w:r>
        <w:rPr>
          <w:b w:val="false"/>
          <w:bCs w:val="false"/>
          <w:sz w:val="28"/>
          <w:szCs w:val="28"/>
        </w:rPr>
        <w:t xml:space="preserve"> рубл</w:t>
      </w:r>
      <w:r>
        <w:rPr>
          <w:b w:val="false"/>
          <w:bCs w:val="false"/>
          <w:sz w:val="28"/>
          <w:szCs w:val="28"/>
        </w:rPr>
        <w:t>я</w:t>
      </w:r>
      <w:r>
        <w:rPr>
          <w:b w:val="false"/>
          <w:bCs w:val="false"/>
          <w:sz w:val="28"/>
          <w:szCs w:val="28"/>
        </w:rPr>
        <w:t>;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eastAsia="Calibri" w:cs="Tahoma" w:ascii="Times New Roman" w:hAnsi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en-US" w:bidi="ar-SA"/>
        </w:rPr>
        <w:t xml:space="preserve">- за счет средств из городского бюджета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ru-RU" w:bidi="ar-SA"/>
        </w:rPr>
        <w:t xml:space="preserve">5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ru-RU" w:bidi="ar-SA"/>
        </w:rPr>
        <w:t>013 856,99</w:t>
      </w:r>
      <w:r>
        <w:rPr>
          <w:rFonts w:eastAsia="Calibri" w:cs="Tahoma" w:ascii="Times New Roman" w:hAnsi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en-US" w:bidi="ar-SA"/>
        </w:rPr>
        <w:t xml:space="preserve"> рублей.</w:t>
      </w:r>
    </w:p>
    <w:p>
      <w:pPr>
        <w:pStyle w:val="Style21"/>
        <w:ind w:left="0" w:right="0" w:firstLine="709"/>
        <w:rPr>
          <w:sz w:val="28"/>
          <w:szCs w:val="28"/>
        </w:rPr>
      </w:pPr>
      <w:bookmarkStart w:id="4" w:name="_Hlk198211611"/>
      <w:r>
        <w:rPr>
          <w:bCs/>
          <w:sz w:val="28"/>
          <w:szCs w:val="28"/>
        </w:rPr>
        <w:t xml:space="preserve">Увеличение по мероприятиям: </w:t>
      </w:r>
      <w:bookmarkEnd w:id="4"/>
      <w:r>
        <w:rPr>
          <w:bCs/>
          <w:sz w:val="28"/>
          <w:szCs w:val="28"/>
        </w:rPr>
        <w:t>«Строительство муниципальных объектов коммунальной и транспортной инфраструктуры» - 42 766 940,00 руб</w:t>
      </w:r>
      <w:r>
        <w:rPr>
          <w:bCs/>
          <w:sz w:val="28"/>
          <w:szCs w:val="28"/>
        </w:rPr>
        <w:t>лей</w:t>
      </w:r>
      <w:r>
        <w:rPr>
          <w:bCs/>
          <w:sz w:val="28"/>
          <w:szCs w:val="28"/>
        </w:rPr>
        <w:t>; «Строительство, реконструкция и содержание объектов социальной и коммунальной инфраструктуры» - 52 606,00 руб</w:t>
      </w:r>
      <w:r>
        <w:rPr>
          <w:bCs/>
          <w:sz w:val="28"/>
          <w:szCs w:val="28"/>
        </w:rPr>
        <w:t>лей</w:t>
      </w:r>
      <w:r>
        <w:rPr>
          <w:bCs/>
          <w:sz w:val="28"/>
          <w:szCs w:val="28"/>
        </w:rPr>
        <w:t>; «Строительство и (или) реконструкция объектов коммунальной инфраструктуры, находящихся в муниципальной собственности, используемых в сфере водоснабжения, водоотведения и очистки сточных вод» - 101 010 101,01 руб</w:t>
      </w:r>
      <w:r>
        <w:rPr>
          <w:bCs/>
          <w:sz w:val="28"/>
          <w:szCs w:val="28"/>
        </w:rPr>
        <w:t>л</w:t>
      </w:r>
      <w:r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>.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eastAsia="Calibri" w:cs="Tahoma"/>
          <w:b w:val="false"/>
          <w:bCs/>
          <w:color w:val="auto"/>
          <w:kern w:val="0"/>
          <w:sz w:val="28"/>
          <w:szCs w:val="28"/>
          <w:u w:val="none"/>
          <w:lang w:val="ru-RU" w:eastAsia="en-US" w:bidi="ar-SA"/>
        </w:rPr>
        <w:t>Уменьшение по мероприятиям: «Субсидии на компенсацию расходов общедоступных бань» - 6 000 000,00 руб</w:t>
      </w:r>
      <w:r>
        <w:rPr>
          <w:rFonts w:eastAsia="Calibri" w:cs="Tahoma"/>
          <w:b w:val="false"/>
          <w:bCs/>
          <w:color w:val="auto"/>
          <w:kern w:val="0"/>
          <w:sz w:val="28"/>
          <w:szCs w:val="28"/>
          <w:u w:val="none"/>
          <w:lang w:val="ru-RU" w:eastAsia="en-US" w:bidi="ar-SA"/>
        </w:rPr>
        <w:t>лей</w:t>
      </w:r>
      <w:r>
        <w:rPr>
          <w:rFonts w:eastAsia="Calibri" w:cs="Tahoma"/>
          <w:b w:val="false"/>
          <w:bCs/>
          <w:color w:val="auto"/>
          <w:kern w:val="0"/>
          <w:sz w:val="28"/>
          <w:szCs w:val="28"/>
          <w:u w:val="none"/>
          <w:lang w:val="ru-RU" w:eastAsia="en-US" w:bidi="ar-SA"/>
        </w:rPr>
        <w:t>; «Водопонижение и очистка водоотводов» - 500 000,00 руб</w:t>
      </w:r>
      <w:r>
        <w:rPr>
          <w:rFonts w:eastAsia="Calibri" w:cs="Tahoma"/>
          <w:b w:val="false"/>
          <w:bCs/>
          <w:color w:val="auto"/>
          <w:kern w:val="0"/>
          <w:sz w:val="28"/>
          <w:szCs w:val="28"/>
          <w:u w:val="none"/>
          <w:lang w:val="ru-RU" w:eastAsia="en-US" w:bidi="ar-SA"/>
        </w:rPr>
        <w:t>лей</w:t>
      </w:r>
      <w:r>
        <w:rPr>
          <w:rFonts w:eastAsia="Calibri" w:cs="Tahoma"/>
          <w:b w:val="false"/>
          <w:bCs/>
          <w:color w:val="auto"/>
          <w:kern w:val="0"/>
          <w:sz w:val="28"/>
          <w:szCs w:val="28"/>
          <w:u w:val="none"/>
          <w:lang w:val="ru-RU" w:eastAsia="en-US" w:bidi="ar-SA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overflowPunct w:val="true"/>
        <w:spacing w:lineRule="auto" w:line="240" w:before="0" w:after="0"/>
        <w:ind w:left="0" w:right="0" w:firstLine="709"/>
        <w:contextualSpacing/>
        <w:jc w:val="both"/>
        <w:textAlignment w:val="baseline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подпрограм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 xml:space="preserve">ма 3 - «Обращение с твердыми бытовыми отходами на территории города».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Данная подпрограмма предусматривает средства городского и краевого бюджетов в сумме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 xml:space="preserve">1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779 000,00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рубл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ей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</w:t>
      </w:r>
      <w:bookmarkStart w:id="5" w:name="_GoBack122"/>
      <w:bookmarkEnd w:id="5"/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(2025 -                       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 xml:space="preserve">1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579 000,00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рубл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ей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, 2026 и 2027 —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по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100 0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00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,00 рублей соответственно).</w:t>
      </w:r>
    </w:p>
    <w:p>
      <w:pPr>
        <w:pStyle w:val="Style21"/>
        <w:ind w:left="0" w:right="0" w:firstLine="709"/>
        <w:rPr>
          <w:sz w:val="28"/>
          <w:szCs w:val="28"/>
        </w:rPr>
      </w:pPr>
      <w:r>
        <w:rPr>
          <w:bCs/>
          <w:sz w:val="28"/>
          <w:szCs w:val="28"/>
        </w:rPr>
        <w:t>Увеличение расходов на су</w:t>
      </w:r>
      <w:r>
        <w:rPr>
          <w:b w:val="false"/>
          <w:bCs w:val="false"/>
          <w:sz w:val="28"/>
          <w:szCs w:val="28"/>
        </w:rPr>
        <w:t>мму 1 479 000,00 руб</w:t>
      </w:r>
      <w:r>
        <w:rPr>
          <w:b w:val="false"/>
          <w:bCs w:val="false"/>
          <w:sz w:val="28"/>
          <w:szCs w:val="28"/>
        </w:rPr>
        <w:t>лей</w:t>
      </w:r>
      <w:r>
        <w:rPr>
          <w:b w:val="false"/>
          <w:bCs w:val="false"/>
          <w:sz w:val="28"/>
          <w:szCs w:val="28"/>
        </w:rPr>
        <w:t>, в том числе:</w:t>
      </w:r>
    </w:p>
    <w:p>
      <w:pPr>
        <w:pStyle w:val="Style21"/>
        <w:ind w:left="0" w:right="0" w:firstLine="709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- увеличение за счет средств </w:t>
      </w:r>
      <w:r>
        <w:rPr>
          <w:sz w:val="28"/>
          <w:szCs w:val="28"/>
        </w:rPr>
        <w:t>краевого бюджета на 1 479 000,00 руб</w:t>
      </w:r>
      <w:r>
        <w:rPr>
          <w:sz w:val="28"/>
          <w:szCs w:val="28"/>
        </w:rPr>
        <w:t>лей</w:t>
      </w:r>
      <w:r>
        <w:rPr>
          <w:sz w:val="28"/>
          <w:szCs w:val="28"/>
        </w:rPr>
        <w:t>.</w:t>
      </w:r>
    </w:p>
    <w:p>
      <w:pPr>
        <w:pStyle w:val="Style21"/>
        <w:tabs>
          <w:tab w:val="clear" w:pos="720"/>
          <w:tab w:val="left" w:pos="993" w:leader="none"/>
          <w:tab w:val="left" w:pos="1134" w:leader="none"/>
        </w:tabs>
        <w:overflowPunct w:val="true"/>
        <w:spacing w:lineRule="auto" w:line="240" w:before="0" w:after="0"/>
        <w:ind w:left="0" w:right="0" w:firstLine="709"/>
        <w:contextualSpacing/>
        <w:jc w:val="both"/>
        <w:textAlignment w:val="baseline"/>
        <w:rPr>
          <w:sz w:val="28"/>
          <w:szCs w:val="28"/>
        </w:rPr>
      </w:pPr>
      <w:r>
        <w:rPr>
          <w:rFonts w:cs="Times New Roman"/>
          <w:b w:val="false"/>
          <w:bCs/>
          <w:sz w:val="28"/>
          <w:szCs w:val="28"/>
          <w:u w:val="none"/>
        </w:rPr>
        <w:t>Увеличение по мероприятию «Обустройство мест (площадок) накопления отходов потребления и (или) приобретение контейнерного оборудования» - 1 479 000,00 руб</w:t>
      </w:r>
      <w:r>
        <w:rPr>
          <w:rFonts w:cs="Times New Roman"/>
          <w:b w:val="false"/>
          <w:bCs/>
          <w:sz w:val="28"/>
          <w:szCs w:val="28"/>
          <w:u w:val="none"/>
        </w:rPr>
        <w:t>лей</w:t>
      </w:r>
      <w:r>
        <w:rPr>
          <w:rFonts w:cs="Times New Roman"/>
          <w:b w:val="false"/>
          <w:bCs/>
          <w:sz w:val="28"/>
          <w:szCs w:val="28"/>
          <w:u w:val="none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>подпрограмма 4 - «Благоустройство города».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Данная подпрограмма предусматривает средства городского, федерального и краевого бюджетов для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обеспечения комфортных условий для проживания граждан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в сумме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2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64 973 349,90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рублей </w:t>
      </w:r>
      <w:bookmarkStart w:id="6" w:name="_GoBack121"/>
      <w:bookmarkEnd w:id="6"/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(2025 —                  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1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34 113 952,91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рубля, 2026 — 62 304 438,99 рублей и 2027 —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 xml:space="preserve"> 6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8 554 958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,00 рублей).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b w:val="false"/>
          <w:b w:val="false"/>
          <w:bCs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bCs w:val="false"/>
          <w:sz w:val="28"/>
          <w:szCs w:val="28"/>
          <w:u w:val="none"/>
        </w:rPr>
        <w:t xml:space="preserve">По подпрограмме 4 «Благоустройство города» произошло </w:t>
      </w:r>
      <w:r>
        <w:rPr>
          <w:rFonts w:eastAsia="Calibri" w:cs="Tahoma" w:ascii="Times New Roman" w:hAnsi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en-US" w:bidi="ar-SA"/>
        </w:rPr>
        <w:t>увеличение</w:t>
      </w:r>
      <w:r>
        <w:rPr>
          <w:rFonts w:ascii="Times New Roman" w:hAnsi="Times New Roman"/>
          <w:b w:val="false"/>
          <w:bCs w:val="false"/>
          <w:sz w:val="28"/>
          <w:szCs w:val="28"/>
          <w:u w:val="none"/>
        </w:rPr>
        <w:t xml:space="preserve"> в 2025 году на сумму 12 675 670,79 руб</w:t>
      </w:r>
      <w:r>
        <w:rPr>
          <w:rFonts w:ascii="Times New Roman" w:hAnsi="Times New Roman"/>
          <w:b w:val="false"/>
          <w:bCs w:val="false"/>
          <w:sz w:val="28"/>
          <w:szCs w:val="28"/>
          <w:u w:val="none"/>
        </w:rPr>
        <w:t>лей</w:t>
      </w:r>
      <w:r>
        <w:rPr>
          <w:rFonts w:ascii="Times New Roman" w:hAnsi="Times New Roman"/>
          <w:b w:val="false"/>
          <w:bCs w:val="false"/>
          <w:sz w:val="28"/>
          <w:szCs w:val="28"/>
          <w:u w:val="none"/>
        </w:rPr>
        <w:t>, в том числе:</w:t>
      </w:r>
    </w:p>
    <w:p>
      <w:pPr>
        <w:pStyle w:val="Style21"/>
        <w:ind w:left="0" w:right="0" w:firstLine="709"/>
        <w:rPr>
          <w:b w:val="false"/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>- за счет средств краевого бюджета на 7 503 827,00 руб</w:t>
      </w:r>
      <w:r>
        <w:rPr>
          <w:b w:val="false"/>
          <w:bCs w:val="false"/>
          <w:sz w:val="28"/>
          <w:szCs w:val="28"/>
          <w:u w:val="none"/>
        </w:rPr>
        <w:t>лей</w:t>
      </w:r>
      <w:r>
        <w:rPr>
          <w:b w:val="false"/>
          <w:bCs w:val="false"/>
          <w:sz w:val="28"/>
          <w:szCs w:val="28"/>
          <w:u w:val="none"/>
        </w:rPr>
        <w:t>;</w:t>
      </w:r>
    </w:p>
    <w:p>
      <w:pPr>
        <w:pStyle w:val="Style21"/>
        <w:ind w:left="0" w:right="0" w:firstLine="709"/>
        <w:rPr>
          <w:b w:val="false"/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>- за счет средств городского бюджета на 5 171 843,79 руб</w:t>
      </w:r>
      <w:r>
        <w:rPr>
          <w:b w:val="false"/>
          <w:bCs w:val="false"/>
          <w:sz w:val="28"/>
          <w:szCs w:val="28"/>
          <w:u w:val="none"/>
        </w:rPr>
        <w:t>лей</w:t>
      </w:r>
      <w:r>
        <w:rPr>
          <w:b w:val="false"/>
          <w:bCs w:val="false"/>
          <w:sz w:val="28"/>
          <w:szCs w:val="28"/>
          <w:u w:val="none"/>
        </w:rPr>
        <w:t>.</w:t>
      </w:r>
    </w:p>
    <w:p>
      <w:pPr>
        <w:pStyle w:val="Style21"/>
        <w:ind w:left="0" w:right="0" w:firstLine="709"/>
        <w:rPr>
          <w:b w:val="false"/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>2027 год - увеличение расходов за счет средств городского бюджета на 800 000,00 руб</w:t>
      </w:r>
      <w:r>
        <w:rPr>
          <w:b w:val="false"/>
          <w:bCs w:val="false"/>
          <w:sz w:val="28"/>
          <w:szCs w:val="28"/>
          <w:u w:val="none"/>
        </w:rPr>
        <w:t>лей</w:t>
      </w:r>
      <w:r>
        <w:rPr>
          <w:b w:val="false"/>
          <w:bCs w:val="false"/>
          <w:sz w:val="28"/>
          <w:szCs w:val="28"/>
          <w:u w:val="none"/>
        </w:rPr>
        <w:t>.</w:t>
      </w:r>
    </w:p>
    <w:p>
      <w:pPr>
        <w:pStyle w:val="Style21"/>
        <w:ind w:left="0" w:right="0" w:firstLine="709"/>
        <w:rPr>
          <w:b w:val="false"/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>2025 год увеличение по мероприятиям: «Проектная документация» - 150 000,00 руб</w:t>
      </w:r>
      <w:r>
        <w:rPr>
          <w:b w:val="false"/>
          <w:bCs w:val="false"/>
          <w:sz w:val="28"/>
          <w:szCs w:val="28"/>
          <w:u w:val="none"/>
        </w:rPr>
        <w:t>лей</w:t>
      </w:r>
      <w:r>
        <w:rPr>
          <w:b w:val="false"/>
          <w:bCs w:val="false"/>
          <w:sz w:val="28"/>
          <w:szCs w:val="28"/>
          <w:u w:val="none"/>
        </w:rPr>
        <w:t>; «Благоустройство общественных территорий города» -        10 966 928,14 руб</w:t>
      </w:r>
      <w:r>
        <w:rPr>
          <w:b w:val="false"/>
          <w:bCs w:val="false"/>
          <w:sz w:val="28"/>
          <w:szCs w:val="28"/>
          <w:u w:val="none"/>
        </w:rPr>
        <w:t>лей</w:t>
      </w:r>
      <w:r>
        <w:rPr>
          <w:b w:val="false"/>
          <w:bCs w:val="false"/>
          <w:sz w:val="28"/>
          <w:szCs w:val="28"/>
          <w:u w:val="none"/>
        </w:rPr>
        <w:t>; «Осуществление расходов, направленных на реализацию мероприятий по поддержке местных инициатив (Благоустройство детской спортивной площадки «КрутоПарк»)» -                   2 749 799,38 руб</w:t>
      </w:r>
      <w:r>
        <w:rPr>
          <w:b w:val="false"/>
          <w:bCs w:val="false"/>
          <w:sz w:val="28"/>
          <w:szCs w:val="28"/>
          <w:u w:val="none"/>
        </w:rPr>
        <w:t>лей</w:t>
      </w:r>
      <w:r>
        <w:rPr>
          <w:b w:val="false"/>
          <w:bCs w:val="false"/>
          <w:sz w:val="28"/>
          <w:szCs w:val="28"/>
          <w:u w:val="none"/>
        </w:rPr>
        <w:t>; «Осуществление расходов, направленных на реализацию мероприятий по поддержке местных инициатив (Благоустройство пешеходной прогулочной зоны «Аллея Мира»)» -                2 760 663,54 руб</w:t>
      </w:r>
      <w:r>
        <w:rPr>
          <w:b w:val="false"/>
          <w:bCs w:val="false"/>
          <w:sz w:val="28"/>
          <w:szCs w:val="28"/>
          <w:u w:val="none"/>
        </w:rPr>
        <w:t>ля</w:t>
      </w:r>
      <w:r>
        <w:rPr>
          <w:b w:val="false"/>
          <w:bCs w:val="false"/>
          <w:sz w:val="28"/>
          <w:szCs w:val="28"/>
          <w:u w:val="none"/>
        </w:rPr>
        <w:t>; «Осуществление расходов, направленных на реализацию мероприятий по поддержке местных инициатив (Благоустройство спортивной площадки «Мечта»)» - 2 890 351,00 руб</w:t>
      </w:r>
      <w:r>
        <w:rPr>
          <w:b w:val="false"/>
          <w:bCs w:val="false"/>
          <w:sz w:val="28"/>
          <w:szCs w:val="28"/>
          <w:u w:val="none"/>
        </w:rPr>
        <w:t>ль</w:t>
      </w:r>
      <w:r>
        <w:rPr>
          <w:b w:val="false"/>
          <w:bCs w:val="false"/>
          <w:sz w:val="28"/>
          <w:szCs w:val="28"/>
          <w:u w:val="none"/>
        </w:rPr>
        <w:t>; «Техническое обследование жилого фонда» - 76 458,80 руб</w:t>
      </w:r>
      <w:r>
        <w:rPr>
          <w:b w:val="false"/>
          <w:bCs w:val="false"/>
          <w:sz w:val="28"/>
          <w:szCs w:val="28"/>
          <w:u w:val="none"/>
        </w:rPr>
        <w:t>лей</w:t>
      </w:r>
      <w:r>
        <w:rPr>
          <w:b w:val="false"/>
          <w:bCs w:val="false"/>
          <w:sz w:val="28"/>
          <w:szCs w:val="28"/>
          <w:u w:val="none"/>
        </w:rPr>
        <w:t>; «Мероприятия по неспецифической профилактике инфекций, передающихся иксодовыми клещами, путем организации и проведения аккарицидных обработок наиболее посещаемых населением участков территории природных очагов клещевых инфекций» - 36 440,00 руб</w:t>
      </w:r>
      <w:r>
        <w:rPr>
          <w:b w:val="false"/>
          <w:bCs w:val="false"/>
          <w:sz w:val="28"/>
          <w:szCs w:val="28"/>
          <w:u w:val="none"/>
        </w:rPr>
        <w:t>лей</w:t>
      </w:r>
      <w:r>
        <w:rPr>
          <w:b w:val="false"/>
          <w:bCs w:val="false"/>
          <w:sz w:val="28"/>
          <w:szCs w:val="28"/>
          <w:u w:val="none"/>
        </w:rPr>
        <w:t>.</w:t>
      </w:r>
    </w:p>
    <w:p>
      <w:pPr>
        <w:pStyle w:val="Style21"/>
        <w:ind w:left="0" w:right="0" w:firstLine="709"/>
        <w:rPr>
          <w:sz w:val="28"/>
          <w:szCs w:val="28"/>
        </w:rPr>
      </w:pPr>
      <w:r>
        <w:rPr>
          <w:b w:val="false"/>
          <w:bCs w:val="false"/>
          <w:sz w:val="28"/>
          <w:szCs w:val="28"/>
          <w:u w:val="none"/>
        </w:rPr>
        <w:t>2025 год уменьшение по мероприятиям: «Благоустройство общественных территорий города» - 745 373,80 руб</w:t>
      </w:r>
      <w:r>
        <w:rPr>
          <w:b w:val="false"/>
          <w:bCs w:val="false"/>
          <w:sz w:val="28"/>
          <w:szCs w:val="28"/>
          <w:u w:val="none"/>
        </w:rPr>
        <w:t>ля</w:t>
      </w:r>
      <w:r>
        <w:rPr>
          <w:b w:val="false"/>
          <w:bCs w:val="false"/>
          <w:sz w:val="28"/>
          <w:szCs w:val="28"/>
          <w:u w:val="none"/>
        </w:rPr>
        <w:t>; «Проектная документация» - 40 000,0</w:t>
      </w:r>
      <w:r>
        <w:rPr>
          <w:bCs/>
          <w:sz w:val="28"/>
          <w:szCs w:val="28"/>
        </w:rPr>
        <w:t>0 руб</w:t>
      </w:r>
      <w:r>
        <w:rPr>
          <w:bCs/>
          <w:sz w:val="28"/>
          <w:szCs w:val="28"/>
        </w:rPr>
        <w:t xml:space="preserve">лей, </w:t>
      </w:r>
      <w:r>
        <w:rPr>
          <w:bCs/>
          <w:sz w:val="28"/>
          <w:szCs w:val="28"/>
        </w:rPr>
        <w:t>«Техническое обследование жилого фонда» - 50 687,20 руб</w:t>
      </w:r>
      <w:r>
        <w:rPr>
          <w:bCs/>
          <w:sz w:val="28"/>
          <w:szCs w:val="28"/>
        </w:rPr>
        <w:t>лей</w:t>
      </w:r>
      <w:r>
        <w:rPr>
          <w:bCs/>
          <w:sz w:val="28"/>
          <w:szCs w:val="28"/>
        </w:rPr>
        <w:t>; «Технологическое подключение к электрическим сетям объекта благоустройства» - 100 000,00 руб</w:t>
      </w:r>
      <w:r>
        <w:rPr>
          <w:bCs/>
          <w:sz w:val="28"/>
          <w:szCs w:val="28"/>
        </w:rPr>
        <w:t>лей</w:t>
      </w:r>
      <w:r>
        <w:rPr>
          <w:bCs/>
          <w:sz w:val="28"/>
          <w:szCs w:val="28"/>
        </w:rPr>
        <w:t>; «Расходы муниципального жилого фонда» - 715 388,14 руб</w:t>
      </w:r>
      <w:r>
        <w:rPr>
          <w:bCs/>
          <w:sz w:val="28"/>
          <w:szCs w:val="28"/>
        </w:rPr>
        <w:t>лей</w:t>
      </w:r>
      <w:r>
        <w:rPr>
          <w:bCs/>
          <w:sz w:val="28"/>
          <w:szCs w:val="28"/>
        </w:rPr>
        <w:t>; «Уличное освещение» - 3 000 000,00 руб</w:t>
      </w:r>
      <w:r>
        <w:rPr>
          <w:bCs/>
          <w:sz w:val="28"/>
          <w:szCs w:val="28"/>
        </w:rPr>
        <w:t>лей</w:t>
      </w:r>
      <w:r>
        <w:rPr>
          <w:bCs/>
          <w:sz w:val="28"/>
          <w:szCs w:val="28"/>
        </w:rPr>
        <w:t>; «Приобретение контейнерного оборудования» -             25 000,00 руб.; «Инициативный проект» - 943 527,93 руб</w:t>
      </w:r>
      <w:r>
        <w:rPr>
          <w:bCs/>
          <w:sz w:val="28"/>
          <w:szCs w:val="28"/>
        </w:rPr>
        <w:t>лей</w:t>
      </w:r>
      <w:r>
        <w:rPr>
          <w:bCs/>
          <w:sz w:val="28"/>
          <w:szCs w:val="28"/>
        </w:rPr>
        <w:t>; «Работы по озеленению г. Канска» - 249 993,00 руб</w:t>
      </w:r>
      <w:r>
        <w:rPr>
          <w:bCs/>
          <w:sz w:val="28"/>
          <w:szCs w:val="28"/>
        </w:rPr>
        <w:t>ля</w:t>
      </w:r>
      <w:r>
        <w:rPr>
          <w:bCs/>
          <w:sz w:val="28"/>
          <w:szCs w:val="28"/>
        </w:rPr>
        <w:t>; «Скашивание  травы и дикорастущих  растений» - 85 000,00 руб</w:t>
      </w:r>
      <w:r>
        <w:rPr>
          <w:bCs/>
          <w:sz w:val="28"/>
          <w:szCs w:val="28"/>
        </w:rPr>
        <w:t>лей</w:t>
      </w:r>
      <w:r>
        <w:rPr>
          <w:bCs/>
          <w:sz w:val="28"/>
          <w:szCs w:val="28"/>
        </w:rPr>
        <w:t>; «Санитарное и эстетическое с</w:t>
      </w:r>
      <w:r>
        <w:rPr>
          <w:bCs/>
          <w:sz w:val="28"/>
          <w:szCs w:val="28"/>
          <w:u w:val="none"/>
        </w:rPr>
        <w:t>одержание кладбищ» - 1 000 000,00 руб</w:t>
      </w:r>
      <w:r>
        <w:rPr>
          <w:bCs/>
          <w:sz w:val="28"/>
          <w:szCs w:val="28"/>
          <w:u w:val="none"/>
        </w:rPr>
        <w:t>лей</w:t>
      </w:r>
      <w:r>
        <w:rPr>
          <w:bCs/>
          <w:sz w:val="28"/>
          <w:szCs w:val="28"/>
          <w:u w:val="none"/>
        </w:rPr>
        <w:t>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  <w:u w:val="none"/>
        </w:rPr>
      </w:pP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u w:val="none"/>
        </w:rPr>
        <w:t>2027 год увеличение по мероприятию «Благоустройство территорий (после сноса аварийных домов)» - 800 000,00 руб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u w:val="none"/>
        </w:rPr>
        <w:t>лей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u w:val="none"/>
        </w:rPr>
        <w:t>.</w:t>
      </w:r>
    </w:p>
    <w:p>
      <w:pPr>
        <w:pStyle w:val="ListParagraph"/>
        <w:tabs>
          <w:tab w:val="clear" w:pos="720"/>
          <w:tab w:val="left" w:pos="851" w:leader="none"/>
        </w:tabs>
        <w:spacing w:lineRule="auto" w:line="240" w:before="0" w:after="0"/>
        <w:ind w:left="0" w:right="0" w:firstLine="709"/>
        <w:contextualSpacing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>Отдельные мероприятия:</w:t>
      </w:r>
    </w:p>
    <w:p>
      <w:pPr>
        <w:pStyle w:val="ListParagraph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Мероприятие 1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lang w:eastAsia="zh-CN"/>
        </w:rPr>
        <w:t>«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Выполнение отдельных государственных полномочий по организации мероприятий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при осуществлении деятельности по обращению с животными без владельцев на территории Красноярского края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lang w:eastAsia="zh-CN"/>
        </w:rPr>
        <w:t>». Общий объе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u w:val="none"/>
          <w:lang w:eastAsia="zh-CN"/>
        </w:rPr>
        <w:t>м средств на 202</w:t>
      </w:r>
      <w:r>
        <w:rPr>
          <w:rFonts w:eastAsia="Calibri" w:cs="Times New Roman" w:ascii="Times New Roman" w:hAnsi="Times New Roman"/>
          <w:b w:val="false"/>
          <w:bCs/>
          <w:color w:val="000000"/>
          <w:kern w:val="0"/>
          <w:sz w:val="28"/>
          <w:szCs w:val="28"/>
          <w:u w:val="none"/>
          <w:lang w:val="ru-RU" w:eastAsia="zh-CN" w:bidi="ar-SA"/>
        </w:rPr>
        <w:t>5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u w:val="none"/>
          <w:lang w:eastAsia="zh-CN"/>
        </w:rPr>
        <w:t xml:space="preserve">-2027 годы составляет </w:t>
      </w:r>
      <w:r>
        <w:rPr>
          <w:rFonts w:eastAsia="Calibri" w:cs="Times New Roman" w:ascii="Times New Roman" w:hAnsi="Times New Roman"/>
          <w:b w:val="false"/>
          <w:bCs/>
          <w:color w:val="000000"/>
          <w:kern w:val="0"/>
          <w:sz w:val="28"/>
          <w:szCs w:val="28"/>
          <w:u w:val="none"/>
          <w:lang w:val="ru-RU" w:eastAsia="zh-CN" w:bidi="ar-SA"/>
        </w:rPr>
        <w:t>6 000 116,31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u w:val="none"/>
          <w:lang w:eastAsia="zh-CN"/>
        </w:rPr>
        <w:t xml:space="preserve"> рублей (2025 - 2 </w:t>
      </w:r>
      <w:r>
        <w:rPr>
          <w:rFonts w:eastAsia="Calibri" w:cs="Times New Roman" w:ascii="Times New Roman" w:hAnsi="Times New Roman"/>
          <w:b w:val="false"/>
          <w:bCs/>
          <w:color w:val="000000"/>
          <w:kern w:val="0"/>
          <w:sz w:val="28"/>
          <w:szCs w:val="28"/>
          <w:u w:val="none"/>
          <w:lang w:val="ru-RU" w:eastAsia="zh-CN" w:bidi="ar-SA"/>
        </w:rPr>
        <w:t>612 516,31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u w:val="none"/>
          <w:lang w:eastAsia="zh-CN"/>
        </w:rPr>
        <w:t xml:space="preserve"> рублей, 2026-2027 по 1 693 800,00 рублей 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u w:val="none"/>
          <w:lang w:eastAsia="zh-CN"/>
        </w:rPr>
        <w:t>соответственно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u w:val="none"/>
          <w:lang w:eastAsia="zh-CN"/>
        </w:rPr>
        <w:t xml:space="preserve">). </w:t>
      </w:r>
    </w:p>
    <w:p>
      <w:pPr>
        <w:pStyle w:val="ListParagraph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bCs/>
          <w:color w:val="000000"/>
          <w:kern w:val="0"/>
          <w:sz w:val="28"/>
          <w:szCs w:val="28"/>
          <w:u w:val="none"/>
          <w:lang w:val="ru-RU" w:eastAsia="zh-CN" w:bidi="ar-SA"/>
        </w:rPr>
        <w:t>Увеличение за счет краевого бюджете на 36 016,31 рублей.</w:t>
      </w:r>
    </w:p>
    <w:p>
      <w:pPr>
        <w:pStyle w:val="Style21"/>
        <w:ind w:left="0" w:right="0" w:firstLine="709"/>
        <w:rPr>
          <w:sz w:val="28"/>
          <w:szCs w:val="28"/>
        </w:rPr>
      </w:pPr>
      <w:bookmarkStart w:id="7" w:name="__DdeLink__727_1047139294"/>
      <w:bookmarkStart w:id="8" w:name="_Hlk972826671"/>
      <w:bookmarkEnd w:id="8"/>
      <w:r>
        <w:rPr>
          <w:rFonts w:cs="Times New Roman"/>
          <w:b w:val="false"/>
          <w:bCs w:val="false"/>
          <w:sz w:val="28"/>
          <w:szCs w:val="28"/>
          <w:u w:val="none"/>
        </w:rPr>
        <w:t>Мероприятие</w:t>
      </w:r>
      <w:bookmarkEnd w:id="7"/>
      <w:r>
        <w:rPr>
          <w:rFonts w:cs="Times New Roman"/>
          <w:b w:val="false"/>
          <w:bCs w:val="false"/>
          <w:sz w:val="28"/>
          <w:szCs w:val="28"/>
          <w:u w:val="none"/>
        </w:rPr>
        <w:t xml:space="preserve"> 2 </w:t>
      </w:r>
      <w:r>
        <w:rPr>
          <w:rFonts w:cs="Times New Roman"/>
          <w:b w:val="false"/>
          <w:bCs w:val="false"/>
          <w:sz w:val="28"/>
          <w:szCs w:val="28"/>
          <w:u w:val="none"/>
          <w:lang w:eastAsia="zh-CN"/>
        </w:rPr>
        <w:t>«</w:t>
      </w:r>
      <w:r>
        <w:rPr>
          <w:rFonts w:cs="Times New Roman"/>
          <w:b w:val="false"/>
          <w:bCs w:val="false"/>
          <w:sz w:val="28"/>
          <w:szCs w:val="28"/>
          <w:u w:val="none"/>
        </w:rPr>
        <w:t>Обеспечение системы управления муниципальной программой</w:t>
      </w:r>
      <w:r>
        <w:rPr>
          <w:rFonts w:cs="Times New Roman"/>
          <w:b w:val="false"/>
          <w:bCs w:val="false"/>
          <w:sz w:val="28"/>
          <w:szCs w:val="28"/>
          <w:u w:val="none"/>
          <w:lang w:eastAsia="zh-CN"/>
        </w:rPr>
        <w:t xml:space="preserve">». </w:t>
      </w:r>
      <w:r>
        <w:rPr>
          <w:rFonts w:cs="Times New Roman"/>
          <w:b w:val="false"/>
          <w:bCs/>
          <w:color w:val="000000"/>
          <w:sz w:val="28"/>
          <w:szCs w:val="28"/>
          <w:u w:val="none"/>
          <w:lang w:eastAsia="zh-CN"/>
        </w:rPr>
        <w:t xml:space="preserve">Общий объем средств на 2025-2027 годы составляет                      </w:t>
      </w:r>
      <w:r>
        <w:rPr>
          <w:rFonts w:eastAsia="Times New Roman" w:cs="Times New Roman"/>
          <w:b w:val="false"/>
          <w:bCs/>
          <w:color w:val="000000"/>
          <w:kern w:val="0"/>
          <w:sz w:val="28"/>
          <w:szCs w:val="28"/>
          <w:u w:val="none"/>
          <w:lang w:val="ru-RU" w:eastAsia="zh-CN" w:bidi="ar-SA"/>
        </w:rPr>
        <w:t xml:space="preserve">164 </w:t>
      </w:r>
      <w:r>
        <w:rPr>
          <w:rFonts w:eastAsia="Times New Roman" w:cs="Times New Roman"/>
          <w:b w:val="false"/>
          <w:bCs/>
          <w:color w:val="000000"/>
          <w:kern w:val="0"/>
          <w:sz w:val="28"/>
          <w:szCs w:val="28"/>
          <w:u w:val="none"/>
          <w:lang w:val="ru-RU" w:eastAsia="zh-CN" w:bidi="ar-SA"/>
        </w:rPr>
        <w:t>890 995,58</w:t>
      </w:r>
      <w:r>
        <w:rPr>
          <w:rFonts w:cs="Times New Roman"/>
          <w:b w:val="false"/>
          <w:bCs/>
          <w:color w:val="000000"/>
          <w:sz w:val="28"/>
          <w:szCs w:val="28"/>
          <w:u w:val="none"/>
          <w:lang w:eastAsia="zh-CN"/>
        </w:rPr>
        <w:t xml:space="preserve"> рубл</w:t>
      </w:r>
      <w:r>
        <w:rPr>
          <w:rFonts w:cs="Times New Roman"/>
          <w:b w:val="false"/>
          <w:bCs/>
          <w:color w:val="000000"/>
          <w:sz w:val="28"/>
          <w:szCs w:val="28"/>
          <w:u w:val="none"/>
          <w:lang w:eastAsia="zh-CN"/>
        </w:rPr>
        <w:t>ей</w:t>
      </w:r>
      <w:r>
        <w:rPr>
          <w:rFonts w:cs="Times New Roman"/>
          <w:b w:val="false"/>
          <w:bCs/>
          <w:color w:val="000000"/>
          <w:sz w:val="28"/>
          <w:szCs w:val="28"/>
          <w:u w:val="none"/>
          <w:lang w:eastAsia="zh-CN"/>
        </w:rPr>
        <w:t xml:space="preserve"> (2025 — 58 </w:t>
      </w:r>
      <w:r>
        <w:rPr>
          <w:rFonts w:cs="Times New Roman"/>
          <w:b w:val="false"/>
          <w:bCs/>
          <w:color w:val="000000"/>
          <w:sz w:val="28"/>
          <w:szCs w:val="28"/>
          <w:u w:val="none"/>
          <w:lang w:eastAsia="zh-CN"/>
        </w:rPr>
        <w:t>503 585,58</w:t>
      </w:r>
      <w:r>
        <w:rPr>
          <w:rFonts w:cs="Times New Roman"/>
          <w:b w:val="false"/>
          <w:bCs/>
          <w:color w:val="000000"/>
          <w:sz w:val="28"/>
          <w:szCs w:val="28"/>
          <w:u w:val="none"/>
          <w:lang w:eastAsia="zh-CN"/>
        </w:rPr>
        <w:t xml:space="preserve"> рублей, 2026-2027 по                   53 193 705,0 рубл</w:t>
      </w:r>
      <w:r>
        <w:rPr>
          <w:rFonts w:cs="Times New Roman"/>
          <w:b w:val="false"/>
          <w:bCs/>
          <w:color w:val="000000"/>
          <w:sz w:val="28"/>
          <w:szCs w:val="28"/>
          <w:u w:val="none"/>
          <w:lang w:eastAsia="zh-CN"/>
        </w:rPr>
        <w:t>ей</w:t>
      </w:r>
      <w:r>
        <w:rPr>
          <w:rFonts w:cs="Times New Roman"/>
          <w:b w:val="false"/>
          <w:bCs/>
          <w:color w:val="000000"/>
          <w:sz w:val="28"/>
          <w:szCs w:val="28"/>
          <w:u w:val="none"/>
          <w:lang w:eastAsia="zh-CN"/>
        </w:rPr>
        <w:t xml:space="preserve">). </w:t>
      </w:r>
      <w:r>
        <w:rPr>
          <w:b w:val="false"/>
          <w:bCs w:val="false"/>
          <w:sz w:val="28"/>
          <w:szCs w:val="28"/>
          <w:u w:val="none"/>
        </w:rPr>
        <w:t xml:space="preserve">Увеличение расходов </w:t>
      </w:r>
      <w:bookmarkStart w:id="9" w:name="_Hlk127264854"/>
      <w:r>
        <w:rPr>
          <w:bCs/>
          <w:sz w:val="28"/>
          <w:szCs w:val="28"/>
          <w:u w:val="none"/>
        </w:rPr>
        <w:t xml:space="preserve"> </w:t>
      </w:r>
      <w:bookmarkEnd w:id="9"/>
      <w:r>
        <w:rPr>
          <w:b w:val="false"/>
          <w:bCs/>
          <w:sz w:val="28"/>
          <w:szCs w:val="28"/>
          <w:u w:val="none"/>
        </w:rPr>
        <w:t xml:space="preserve">за счет средств городского бюджета на </w:t>
      </w:r>
      <w:r>
        <w:rPr>
          <w:b w:val="false"/>
          <w:bCs/>
          <w:sz w:val="28"/>
          <w:szCs w:val="28"/>
          <w:u w:val="none"/>
        </w:rPr>
        <w:t>439 993,00</w:t>
      </w:r>
      <w:r>
        <w:rPr>
          <w:b w:val="false"/>
          <w:bCs/>
          <w:sz w:val="28"/>
          <w:szCs w:val="28"/>
          <w:u w:val="none"/>
        </w:rPr>
        <w:t xml:space="preserve"> </w:t>
      </w:r>
      <w:r>
        <w:rPr>
          <w:bCs/>
          <w:sz w:val="28"/>
          <w:szCs w:val="28"/>
          <w:u w:val="none"/>
        </w:rPr>
        <w:t>рубл</w:t>
      </w:r>
      <w:r>
        <w:rPr>
          <w:bCs/>
          <w:sz w:val="28"/>
          <w:szCs w:val="28"/>
          <w:u w:val="none"/>
        </w:rPr>
        <w:t>я</w:t>
      </w:r>
      <w:r>
        <w:rPr>
          <w:b w:val="false"/>
          <w:bCs/>
          <w:sz w:val="28"/>
          <w:szCs w:val="28"/>
          <w:u w:val="none"/>
        </w:rPr>
        <w:t>.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  <w:u w:val="none"/>
        </w:rPr>
        <w:t>Мероприятие 3 «Мероприятия в области обеспечения капитального ремонта, реконструкции и строительства гидротехнических сооружений» не предусмотрено.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/>
          <w:b w:val="false"/>
          <w:bCs w:val="false"/>
          <w:i w:val="false"/>
          <w:iCs w:val="false"/>
          <w:sz w:val="28"/>
          <w:szCs w:val="28"/>
          <w:u w:val="none"/>
        </w:rPr>
        <w:t>По причине изменения бюджетных ассигнований внесены изменения в целевые показатели муниципальной программы с указанием планируемых к достижению значений в результате реализации муниципальной программы и показатели результативности.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i/>
          <w:i/>
          <w:iCs/>
          <w:sz w:val="27"/>
          <w:szCs w:val="27"/>
          <w:u w:val="none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Выводы и предложения по результатам проведенной экспертизы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1. Цель и задачи муниципальной программы аналогичны целям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2. Муниципальная программа предполагает реализацию мероприятий приоритетного проекта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На основании вышеизложенного Контрольно-счетная комиссия рекомендует: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7"/>
          <w:szCs w:val="27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Утвердить проект программы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sz w:val="27"/>
          <w:szCs w:val="27"/>
          <w:u w:val="none"/>
        </w:rPr>
      </w:pP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Председатель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Контрольно-счетной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sz w:val="27"/>
          <w:szCs w:val="27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комиссии города Канска                                                                Е.В.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Парфенова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Данилова Екатерина Владимировна, </w:t>
      </w:r>
      <w:hyperlink r:id="rId2">
        <w:r>
          <w:rPr>
            <w:rStyle w:val="Style"/>
            <w:rFonts w:cs="Times New Roman" w:ascii="Times New Roman" w:hAnsi="Times New Roman"/>
            <w:sz w:val="20"/>
            <w:szCs w:val="20"/>
          </w:rPr>
          <w:t>8(39161) 3-28-08</w:t>
        </w:r>
      </w:hyperlink>
    </w:p>
    <w:sectPr>
      <w:headerReference w:type="default" r:id="rId3"/>
      <w:footerReference w:type="default" r:id="rId4"/>
      <w:footerReference w:type="first" r:id="rId5"/>
      <w:type w:val="nextPage"/>
      <w:pgSz w:w="11906" w:h="16838"/>
      <w:pgMar w:left="1701" w:right="850" w:header="1134" w:top="1670" w:footer="709" w:bottom="1134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Style27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tabs>
        <w:tab w:val="left" w:pos="4515" w:leader="none"/>
        <w:tab w:val="center" w:pos="4677" w:leader="none"/>
        <w:tab w:val="right" w:pos="9355" w:leader="none"/>
      </w:tabs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tab/>
      <w:tab/>
    </w:r>
  </w:p>
  <w:p>
    <w:pPr>
      <w:pStyle w:val="Style2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7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7"/>
        <w:b w:val="false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7"/>
        <w:b w:val="false"/>
        <w:bCs w:val="false"/>
        <w:rFonts w:cs="OpenSymbol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 w:val="false"/>
        <w:bCs w:val="false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Style16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17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8">
    <w:name w:val="Интернет-ссылка"/>
    <w:rPr>
      <w:color w:val="000080"/>
      <w:u w:val="single"/>
      <w:lang w:val="zxx" w:eastAsia="zxx" w:bidi="zxx"/>
    </w:rPr>
  </w:style>
  <w:style w:type="character" w:styleId="Style19">
    <w:name w:val="Маркеры списка"/>
    <w:qFormat/>
    <w:rPr>
      <w:rFonts w:ascii="OpenSymbol" w:hAnsi="OpenSymbol" w:eastAsia="OpenSymbol" w:cs="OpenSymbol"/>
      <w:b w:val="false"/>
      <w:bCs w:val="false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1">
    <w:name w:val="Body Text"/>
    <w:basedOn w:val="Normal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22">
    <w:name w:val="List"/>
    <w:basedOn w:val="Style21"/>
    <w:pPr/>
    <w:rPr>
      <w:rFonts w:cs="Ari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ConsPlusCell">
    <w:name w:val="ConsPlusCell"/>
    <w:qFormat/>
    <w:pPr>
      <w:widowControl/>
      <w:overflowPunct w:val="false"/>
      <w:bidi w:val="0"/>
      <w:spacing w:lineRule="auto" w:line="240" w:before="0" w:after="0"/>
      <w:jc w:val="left"/>
    </w:pPr>
    <w:rPr>
      <w:rFonts w:ascii="Arial" w:hAnsi="Arial" w:eastAsia="Calibri" w:cs="Arial"/>
      <w:color w:val="auto"/>
      <w:kern w:val="0"/>
      <w:sz w:val="2"/>
      <w:szCs w:val="2"/>
      <w:lang w:val="ru-RU" w:eastAsia="ru-RU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E413A60353FEA5670CC4712870F4D595D86B1D01B6110A2367F9A12BBE0CF41EFCDE223368A92F3D04C1722E03D6210153F0AB938995856133G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3055</TotalTime>
  <Application>LibreOffice/6.3.6.2$Windows_x86 LibreOffice_project/2196df99b074d8a661f4036fca8fa0cbfa33a497</Application>
  <Pages>7</Pages>
  <Words>1975</Words>
  <Characters>14131</Characters>
  <CharactersWithSpaces>16396</CharactersWithSpaces>
  <Paragraphs>103</Paragraphs>
  <Company>КонсультантПлюс Версия 4020.00.61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2021-04-28T13:55:00Z</dcterms:created>
  <dc:creator>RePack by Diakov</dc:creator>
  <dc:description/>
  <dc:language>ru-RU</dc:language>
  <cp:lastModifiedBy/>
  <cp:lastPrinted>2025-06-03T10:31:39Z</cp:lastPrinted>
  <dcterms:modified xsi:type="dcterms:W3CDTF">2025-06-03T10:47:06Z</dcterms:modified>
  <cp:revision>199</cp:revision>
  <dc:subject/>
  <dc:title>Распоряжение Правительства РФ от 17.11.2008 N 1662-р(ред. от 28.09.2018)&lt;О Концепции долгосрочного социально-экономического развития Российской Федерации на период до 2020 года&gt;(вместе с "Концепцией долгосрочного социально-экономического развития Российской Федерации на период до 2020 года")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4020.00.61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