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hanging="0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Заключение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по результатам финансово-экономической экспертизы </w:t>
      </w:r>
      <w:r>
        <w:rPr>
          <w:rFonts w:cs="Times New Roman" w:ascii="Times New Roman" w:hAnsi="Times New Roman"/>
          <w:b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«О внесении изменений             в постановление администрации города Канска от 12.12.2016 № 1365  «Об утверждении муниципальной программы города Канска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«Городское хозяйство»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/>
        <w:ind w:left="0" w:right="0" w:firstLine="709"/>
        <w:jc w:val="center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(проект внесен УС и ЖКХ администрации города Канска письмом      от 28.04.2023 № ИС-50)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Основание для проведения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муниципальных образований»,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Цель экспертизы: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Предмет экспертизы: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/>
          <w:sz w:val="28"/>
          <w:szCs w:val="28"/>
          <w:u w:val="none"/>
        </w:rPr>
        <w:t xml:space="preserve">Срок проведения экспертизы: </w:t>
      </w:r>
      <w:r>
        <w:rPr>
          <w:rFonts w:cs="Times New Roman" w:ascii="Times New Roman" w:hAnsi="Times New Roman"/>
          <w:sz w:val="28"/>
          <w:szCs w:val="28"/>
          <w:u w:val="none"/>
        </w:rPr>
        <w:t>с «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05</w:t>
      </w:r>
      <w:r>
        <w:rPr>
          <w:rFonts w:cs="Times New Roman" w:ascii="Times New Roman" w:hAnsi="Times New Roman"/>
          <w:sz w:val="28"/>
          <w:szCs w:val="28"/>
          <w:u w:val="none"/>
        </w:rPr>
        <w:t>» мая 2023 года                                         по «0</w:t>
      </w:r>
      <w:r>
        <w:rPr>
          <w:rFonts w:cs="Times New Roman" w:ascii="Times New Roman" w:hAnsi="Times New Roman"/>
          <w:sz w:val="28"/>
          <w:szCs w:val="28"/>
          <w:u w:val="none"/>
        </w:rPr>
        <w:t>5</w:t>
      </w:r>
      <w:r>
        <w:rPr>
          <w:rFonts w:cs="Times New Roman" w:ascii="Times New Roman" w:hAnsi="Times New Roman"/>
          <w:sz w:val="28"/>
          <w:szCs w:val="28"/>
          <w:u w:val="none"/>
        </w:rPr>
        <w:t>» мая 2023 года.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При подготовке Заключения Контрольно-счетной комиссией были использованы следующие документы: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- Постановление администрации города Канска от 22.08.2013 № 1096-п (с внесенными изменениями) «Об утверждении Порядка принятия решений                о разработке муниципальных программ города Канска, их формировании                     и реализации»;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- Постановление администрации города Канска от 22.08.2013 № 1095     (с внесенными изменениями) «Об утверждении перечня муниципальных программ города Канска».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В соответствии п.7 ст.7 Положения о Контрольно-счетной комиссии города Канска, утвержденного решением Канского городского Совета депутатов Красноярского края от 15.03.2012 № 31-170 и п.1.4 Плана работы Контрольно-счетной комиссии города Канска на 2023 год, проведена финансово-экономическая экспертиза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проекта 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 1365 «Об утверждении муниципальной программы города Канска «Городское хозяйство» (далее - Проект постановления, муниципальная программа), по результатам которой установлено следующее:</w:t>
      </w:r>
    </w:p>
    <w:p>
      <w:pPr>
        <w:pStyle w:val="ListParagraph"/>
        <w:widowControl/>
        <w:tabs>
          <w:tab w:val="clear" w:pos="720"/>
          <w:tab w:val="left" w:pos="993" w:leader="none"/>
        </w:tabs>
        <w:bidi w:val="0"/>
        <w:spacing w:lineRule="auto" w:line="259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1. Проект </w:t>
      </w:r>
      <w:r>
        <w:rPr>
          <w:rFonts w:cs="Times New Roman" w:ascii="Times New Roman" w:hAnsi="Times New Roman"/>
          <w:bCs/>
          <w:sz w:val="28"/>
          <w:szCs w:val="28"/>
          <w:u w:val="none"/>
        </w:rPr>
        <w:t xml:space="preserve">постановления администрации города Канска </w:t>
      </w:r>
      <w:r>
        <w:rPr>
          <w:rFonts w:cs="Times New Roman" w:ascii="Times New Roman" w:hAnsi="Times New Roman"/>
          <w:sz w:val="28"/>
          <w:szCs w:val="28"/>
          <w:u w:val="none"/>
        </w:rPr>
        <w:t>«О внесении изменений в постановление администрации города Канска от 12.12.2016 №1365 «Об утверждении муниципальной программы города Канска «Городское хозяйство» предоставлен с сопроводительным письмом от 28.04.2023 № ИС-50, согласно постановления администрации города Канска от 22.08.2013 № 1096-п (с внесенными изменениями) «Об утверждении Порядка принятия решений о разработке муниципальных программ города Канска, их формировании и реализации».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Программа входит в перечень муниципальных программ города Канска установленный постановлением администрации города Канска от 22.08.2013 №1095 (с внесенными изменениями) «Об утверждении перечня муниципальных программ города Канска». Разработчиком Программы является УС и ЖКХ администрации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соответствия целей и задач муниципальной программы приоритетам социально-экономического развития города Канска в соответствующей сфере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Проект муниципальной программы содержит основные направления развития данной сферы, целью программы является, создание условий                   для обеспечения жизнедеятельности города Канска.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Приоритеты государственной политики в жилищно-коммунальной сфере определены в соответствии с Указом Президента РФ от 07.05.2012                     № 600 «О мерах по обеспечению граждан Российской Федерации доступным и комфортным жильем и повышению качества жилищно-коммунальных услуг, а также Концепцией долгосрочного социально-экономического развития Российской Федерации на период до 2020 года утвержденной распоряжением Правительства Российской Федерации от 17.11.2008               №</w:t>
      </w: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 xml:space="preserve"> 1662-р </w:t>
      </w:r>
      <w:r>
        <w:rPr>
          <w:rFonts w:ascii="Times New Roman" w:hAnsi="Times New Roman"/>
          <w:b w:val="false"/>
          <w:i w:val="false"/>
          <w:strike w:val="false"/>
          <w:dstrike w:val="false"/>
          <w:color w:val="000000"/>
          <w:sz w:val="28"/>
          <w:szCs w:val="28"/>
          <w:u w:val="none"/>
        </w:rPr>
        <w:t>(в ред. распоряжения Правительства РФ от 08.08.2009 № 1121-р).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16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Основными задачами для достижения целей являются: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движения.</w:t>
      </w:r>
    </w:p>
    <w:p>
      <w:pPr>
        <w:pStyle w:val="Normal"/>
        <w:tabs>
          <w:tab w:val="clear" w:pos="720"/>
          <w:tab w:val="left" w:pos="736" w:leader="none"/>
          <w:tab w:val="left" w:pos="845" w:leader="none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города качественными жилищно-коммунальными услугами в условиях энергосбережения и повышения энергетической эффективности.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3.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  <w:t>4.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highlight w:val="white"/>
          <w:u w:val="none"/>
        </w:rPr>
      </w:pPr>
      <w:r>
        <w:rPr>
          <w:rFonts w:ascii="Times New Roman" w:hAnsi="Times New Roman"/>
          <w:sz w:val="28"/>
          <w:szCs w:val="28"/>
          <w:highlight w:val="white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  <w:t>Анализ структуры и содержание муниципальной программы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center"/>
        <w:rPr>
          <w:rFonts w:ascii="Times New Roman" w:hAnsi="Times New Roman" w:cs="Times New Roman"/>
          <w:b/>
          <w:b/>
          <w:sz w:val="28"/>
          <w:szCs w:val="28"/>
          <w:u w:val="none"/>
        </w:rPr>
      </w:pPr>
      <w:r>
        <w:rPr>
          <w:rFonts w:cs="Times New Roman" w:ascii="Times New Roman" w:hAnsi="Times New Roman"/>
          <w:b/>
          <w:sz w:val="28"/>
          <w:szCs w:val="28"/>
          <w:u w:val="none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Структура муниципальной программы города Канска «Городское хозяйство» предусматривает реализацию четырех подпрограмм и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u w:val="none"/>
          <w:lang w:val="ru-RU" w:eastAsia="en-US" w:bidi="ar-SA"/>
        </w:rPr>
        <w:t>трех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  отдельных мероприятий: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•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1-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«Развитие транспортной системы». 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  <w:u w:val="none"/>
          <w:lang w:eastAsia="zh-CN"/>
        </w:rPr>
        <w:t>Цель:</w:t>
      </w:r>
      <w:r>
        <w:rPr>
          <w:rFonts w:ascii="Times New Roman" w:hAnsi="Times New Roman"/>
          <w:sz w:val="28"/>
          <w:szCs w:val="28"/>
          <w:u w:val="none"/>
        </w:rPr>
        <w:t xml:space="preserve"> развитие современной и эффективной транспортной инфраструктуры в условиях повышения доступности транспортных услуг для населения и повышения комплексной  безопасности дорожного движения.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spacing w:before="0" w:after="0"/>
        <w:ind w:left="0" w:righ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1. обеспечение сохранности, содержания, ремонт, модернизация и развитие сети автомобильных дорог города;</w:t>
      </w:r>
    </w:p>
    <w:p>
      <w:pPr>
        <w:pStyle w:val="Normal"/>
        <w:numPr>
          <w:ilvl w:val="0"/>
          <w:numId w:val="0"/>
        </w:numPr>
        <w:spacing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none"/>
        </w:rPr>
        <w:t>2. обеспечение населения услугами общественного транспорта равной доступностью;</w:t>
      </w:r>
    </w:p>
    <w:p>
      <w:pPr>
        <w:pStyle w:val="Normal"/>
        <w:numPr>
          <w:ilvl w:val="0"/>
          <w:numId w:val="0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outlineLvl w:val="1"/>
        <w:rPr>
          <w:rFonts w:ascii="Times New Roman" w:hAnsi="Times New Roman"/>
          <w:sz w:val="28"/>
          <w:szCs w:val="28"/>
          <w:u w:val="none"/>
        </w:rPr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u w:val="none"/>
          <w:lang w:val="ru-RU" w:eastAsia="ru-RU" w:bidi="ar-SA"/>
        </w:rPr>
        <w:t>3. обеспечение дорожной безопасности.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 </w:t>
      </w: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2 - </w:t>
      </w:r>
      <w:r>
        <w:rPr>
          <w:rFonts w:ascii="Times New Roman" w:hAnsi="Times New Roman"/>
          <w:sz w:val="28"/>
          <w:szCs w:val="28"/>
          <w:u w:val="none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населения города качественными жилищно-коммунальными услугами в условиях  энергосбережения и повышения энергетической эффективности.</w:t>
      </w:r>
    </w:p>
    <w:p>
      <w:pPr>
        <w:pStyle w:val="Normal"/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развитие, модернизация и капитальный ремонт объектов коммунальной инфраструктуры, находящиеся в муниципальной собственности города Канска;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2. создание условий для безубыточной деятельности организаций коммунального комплекса;</w:t>
      </w:r>
    </w:p>
    <w:p>
      <w:pPr>
        <w:pStyle w:val="Normal"/>
        <w:tabs>
          <w:tab w:val="clear" w:pos="720"/>
          <w:tab w:val="left" w:pos="335" w:leader="none"/>
          <w:tab w:val="left" w:pos="498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3. энергосбережение и повышение энергетической эффективности;</w:t>
      </w:r>
    </w:p>
    <w:p>
      <w:pPr>
        <w:pStyle w:val="Normal"/>
        <w:tabs>
          <w:tab w:val="clear" w:pos="720"/>
          <w:tab w:val="left" w:pos="993" w:leader="none"/>
        </w:tabs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4. обеспечение населения города чистой питьевой водой.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подпрограмма 3 - «Обращение с твердыми бытовыми отходами                              на территории города».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снижение негативного воздействия отходов на окружающую среду и здоровье населения путем максимального развития системы сбора и обезвреживания бытовых отходов на территории города Канска.</w:t>
      </w:r>
    </w:p>
    <w:p>
      <w:pPr>
        <w:pStyle w:val="Normal"/>
        <w:spacing w:lineRule="auto" w:line="240" w:before="0" w:after="0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Задачи: сбор, обезвреживание и вывоз отходов, информационное обеспечение в области обращения с отходами.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подпрограмма 4 - «Благоустройство города». </w:t>
      </w:r>
    </w:p>
    <w:p>
      <w:pPr>
        <w:pStyle w:val="Normal"/>
        <w:overflowPunct w:val="true"/>
        <w:spacing w:lineRule="auto" w:line="240" w:before="0" w:after="0"/>
        <w:ind w:left="0" w:right="0" w:firstLine="709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Цель: обеспечение комфортных условий для проживания горожан.</w:t>
      </w:r>
    </w:p>
    <w:p>
      <w:pPr>
        <w:pStyle w:val="Normal"/>
        <w:tabs>
          <w:tab w:val="clear" w:pos="720"/>
          <w:tab w:val="left" w:pos="567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Задачи:</w:t>
      </w:r>
    </w:p>
    <w:p>
      <w:pPr>
        <w:pStyle w:val="ConsPlusCell"/>
        <w:ind w:left="0" w:righ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1. обеспечение уличного освещения улично-дорожной сети города;</w:t>
      </w:r>
    </w:p>
    <w:p>
      <w:pPr>
        <w:pStyle w:val="ConsPlusCel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  <w:u w:val="none"/>
        </w:rPr>
        <w:t>2. повышение уровня благоустроенности городской природной среды.</w:t>
      </w:r>
    </w:p>
    <w:p>
      <w:pPr>
        <w:pStyle w:val="ConsPlusCell"/>
        <w:tabs>
          <w:tab w:val="clear" w:pos="720"/>
          <w:tab w:val="left" w:pos="993" w:leader="none"/>
        </w:tabs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>Отдельные мероприятие: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1 -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сокращение численности безнадзорных животных до экологически безопасного и социально-приемлемого уровня.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  <w:u w:val="none"/>
        </w:rPr>
        <w:t xml:space="preserve">мероприятие 2 - 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«</w:t>
      </w:r>
      <w:r>
        <w:rPr>
          <w:rFonts w:cs="Times New Roman" w:ascii="Times New Roman" w:hAnsi="Times New Roman"/>
          <w:sz w:val="28"/>
          <w:szCs w:val="28"/>
          <w:u w:val="none"/>
        </w:rPr>
        <w:t>Обеспечение системы управления муниципальной программой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 xml:space="preserve">». 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создание условий для эффективного, ответственного и прозрачного управления в рамках выполнения установленных функций и полномочий, а также повышения эффективности расходов городского бюджета.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мероприятие 3 - «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  <w:lang w:eastAsia="zh-CN"/>
        </w:rPr>
        <w:t>Мероприятия в области обеспечения капитального ремонта, реконструкции и строительства гидротехнических сооружений</w:t>
      </w: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>
        <w:rPr>
          <w:rFonts w:cs="Times New Roman" w:ascii="Times New Roman" w:hAnsi="Times New Roman"/>
          <w:sz w:val="28"/>
          <w:szCs w:val="28"/>
          <w:u w:val="none"/>
          <w:lang w:eastAsia="zh-CN"/>
        </w:rPr>
        <w:t>Цель: разработка ПСД и строительство сооружений берегоукрепления   р. Кан для защиты жилой застройки и объектов народного хозяйства от затопления и разрушения.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8"/>
          <w:szCs w:val="28"/>
          <w:u w:val="none"/>
        </w:rPr>
      </w:pPr>
      <w:r>
        <w:rPr>
          <w:rFonts w:ascii="Times New Roman" w:hAnsi="Times New Roman"/>
          <w:sz w:val="28"/>
          <w:szCs w:val="28"/>
          <w:u w:val="none"/>
        </w:rPr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b/>
          <w:b/>
          <w:szCs w:val="28"/>
        </w:rPr>
      </w:pPr>
      <w:r>
        <w:rPr>
          <w:b/>
          <w:sz w:val="28"/>
          <w:szCs w:val="28"/>
          <w:u w:val="none"/>
        </w:rPr>
        <w:t>Анализ ресурсного обеспечения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/>
      </w:pPr>
      <w:r>
        <w:rPr>
          <w:b/>
          <w:sz w:val="28"/>
          <w:szCs w:val="28"/>
          <w:u w:val="none"/>
        </w:rPr>
        <w:t>(анализ структуры управления и финансовые ресурсы)</w:t>
      </w:r>
    </w:p>
    <w:p>
      <w:pPr>
        <w:pStyle w:val="Style21"/>
        <w:tabs>
          <w:tab w:val="clear" w:pos="720"/>
          <w:tab w:val="left" w:pos="993" w:leader="none"/>
        </w:tabs>
        <w:spacing w:before="0" w:after="0"/>
        <w:ind w:left="0" w:right="0" w:firstLine="709"/>
        <w:jc w:val="center"/>
        <w:rPr>
          <w:rFonts w:ascii="Times New Roman" w:hAnsi="Times New Roman"/>
          <w:b/>
          <w:b/>
          <w:sz w:val="28"/>
          <w:szCs w:val="28"/>
          <w:u w:val="none"/>
        </w:rPr>
      </w:pPr>
      <w:r>
        <w:rPr>
          <w:b/>
          <w:sz w:val="28"/>
          <w:szCs w:val="28"/>
          <w:u w:val="none"/>
        </w:rPr>
      </w:r>
    </w:p>
    <w:p>
      <w:pPr>
        <w:pStyle w:val="Style21"/>
        <w:ind w:firstLine="708"/>
        <w:rPr>
          <w:rFonts w:ascii="Times New Roman" w:hAnsi="Times New Roman"/>
          <w:sz w:val="28"/>
          <w:szCs w:val="28"/>
          <w:u w:val="none"/>
        </w:rPr>
      </w:pPr>
      <w:r>
        <w:rPr>
          <w:sz w:val="28"/>
          <w:szCs w:val="28"/>
          <w:u w:val="none"/>
        </w:rPr>
        <w:t>В предоставленном проекте муниципальной программы «Городское хозяйство» в новой редакции внесены следующие изменения.</w:t>
      </w:r>
    </w:p>
    <w:p>
      <w:pPr>
        <w:pStyle w:val="Style21"/>
        <w:ind w:firstLine="708"/>
        <w:rPr/>
      </w:pPr>
      <w:r>
        <w:rPr>
          <w:b w:val="false"/>
          <w:bCs w:val="false"/>
        </w:rPr>
        <w:t>Увеличить общий объем финансирования муниципальной программы «Городское хозяйство» на 111 600 300,00 рублей за счет средств из краевого бюджета.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В ходе анализа ресурсного обеспечения установлено: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  <w:u w:val="none"/>
        </w:rPr>
        <w:t>- структура управления программой соответствует поставленным целям и задачам. Ответственным исполнителем и главным распорядителем является УС и ЖКХ администрации города Канска. За 2023-2025 годы асс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игнований предусмотрено в сумме 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u w:val="none"/>
          <w:lang w:val="ru-RU" w:eastAsia="en-US" w:bidi="ar-SA"/>
        </w:rPr>
        <w:t>1 070 260 215,98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 xml:space="preserve">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sz w:val="28"/>
          <w:szCs w:val="28"/>
          <w:u w:val="none"/>
        </w:rPr>
      </w:pP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</w:r>
    </w:p>
    <w:p>
      <w:pPr>
        <w:pStyle w:val="Normal"/>
        <w:numPr>
          <w:ilvl w:val="0"/>
          <w:numId w:val="2"/>
        </w:numPr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/>
          <w:sz w:val="28"/>
          <w:szCs w:val="28"/>
          <w:u w:val="none"/>
        </w:rPr>
        <w:t>под</w:t>
      </w:r>
      <w:r>
        <w:rPr>
          <w:rFonts w:cs="Times New Roman" w:ascii="Times New Roman" w:hAnsi="Times New Roman"/>
          <w:b w:val="false"/>
          <w:bCs w:val="false"/>
          <w:sz w:val="28"/>
          <w:szCs w:val="28"/>
          <w:u w:val="none"/>
        </w:rPr>
        <w:t>программа 1 «Развитие транспортной системы».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>Данная подпрограмма предусматривает средства городского, федерального и краевого бюджетов для развития современной и эффективной транспортной инфраструктуры в условиях повышения доступности транспортных услуг для населения и повышения комплексной безопасности дорожного движения в сумме 6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25 647 395,26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 </w:t>
      </w:r>
      <w:bookmarkStart w:id="0" w:name="_GoBack2"/>
      <w:bookmarkEnd w:id="0"/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(2023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345 294 297,26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 рублей, 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u w:val="none"/>
          <w:lang w:val="ru-RU" w:eastAsia="en-US" w:bidi="ar-SA"/>
        </w:rPr>
        <w:t>139 776 549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  <w:u w:val="none"/>
        </w:rPr>
        <w:t xml:space="preserve">,00 рублей, 2025 — 140 576 549,00 рублей). </w:t>
      </w:r>
    </w:p>
    <w:p>
      <w:pPr>
        <w:pStyle w:val="Style21"/>
        <w:ind w:firstLine="709"/>
        <w:rPr/>
      </w:pPr>
      <w:bookmarkStart w:id="1" w:name="_Hlk107571328"/>
      <w:r>
        <w:rPr>
          <w:bCs/>
          <w:szCs w:val="28"/>
        </w:rPr>
        <w:t xml:space="preserve">Увеличение расходов </w:t>
      </w:r>
      <w:bookmarkEnd w:id="1"/>
      <w:r>
        <w:rPr>
          <w:bCs/>
          <w:szCs w:val="28"/>
        </w:rPr>
        <w:t xml:space="preserve">по подпрограмме </w:t>
      </w:r>
      <w:r>
        <w:rPr>
          <w:b w:val="false"/>
          <w:bCs w:val="false"/>
          <w:szCs w:val="28"/>
        </w:rPr>
        <w:t>1 «Развитие транспортной системы» на 99 868 800,00 рублей, в том числе:</w:t>
      </w:r>
    </w:p>
    <w:p>
      <w:pPr>
        <w:pStyle w:val="Style21"/>
        <w:ind w:firstLine="709"/>
        <w:rPr/>
      </w:pPr>
      <w:bookmarkStart w:id="2" w:name="_Hlk128383138"/>
      <w:r>
        <w:rPr>
          <w:bCs/>
          <w:szCs w:val="28"/>
        </w:rPr>
        <w:t>- за счет средств краевого бюджета на 99 868 800,00 рублей;</w:t>
      </w:r>
      <w:bookmarkEnd w:id="2"/>
    </w:p>
    <w:p>
      <w:pPr>
        <w:pStyle w:val="Style21"/>
        <w:ind w:firstLine="709"/>
        <w:rPr/>
      </w:pPr>
      <w:r>
        <w:rPr>
          <w:bCs/>
          <w:u w:val="single"/>
        </w:rPr>
        <w:t>Увеличение</w:t>
      </w:r>
      <w:r>
        <w:rPr>
          <w:bCs/>
          <w:szCs w:val="28"/>
          <w:u w:val="single"/>
        </w:rPr>
        <w:t xml:space="preserve"> по мероприятиям</w:t>
      </w:r>
      <w:r>
        <w:rPr>
          <w:bCs/>
          <w:szCs w:val="28"/>
        </w:rPr>
        <w:t xml:space="preserve"> </w:t>
      </w:r>
      <w:r>
        <w:rPr>
          <w:bCs/>
        </w:rPr>
        <w:t>«</w:t>
      </w:r>
      <w:r>
        <w:rPr>
          <w:bCs/>
          <w:szCs w:val="28"/>
        </w:rPr>
        <w:t>Капитальный ремонт и ремонт автомобильных дорог общего пользования местного значения за счет средств муниципального дорожного фонда города Канска» - 36 011 600,00 рублей; «Осуществление дорожной деятельности в целях решения задач социально-экономического развития территорий за счет средств муниципального дорожного фонда города Канска» - 50 000 000,00 рублей; «Разработка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за счет средств муниципального дорожного фонда Канска» - 5 861 300,00 рублей; «Реализация мероприятий, направленных на повышение безопасности дорожного движения за счет средств муниципального дорожного фонда города Канска» - 4 799 800,00 рублей; «Выполнение работ по перекрытию проезжей части» - 51 367,73 рублей; «Обустройство участков улично-дорожной сети вблизи образовательных организаций для обеспечения безопасности дорожного движения  за счет средств муниципального дорожного фонда города Канска» - 3 196 100,00 рублей.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 xml:space="preserve"> </w:t>
      </w:r>
    </w:p>
    <w:p>
      <w:pPr>
        <w:pStyle w:val="Style21"/>
        <w:ind w:firstLine="709"/>
        <w:rPr/>
      </w:pPr>
      <w:r>
        <w:rPr>
          <w:rFonts w:cs="Times New Roman"/>
          <w:b w:val="false"/>
          <w:bCs/>
          <w:color w:val="000000"/>
          <w:sz w:val="28"/>
          <w:szCs w:val="28"/>
          <w:u w:val="single"/>
        </w:rPr>
        <w:t>Уменьшение по мероприятиям</w:t>
      </w:r>
      <w:r>
        <w:rPr>
          <w:rFonts w:cs="Times New Roman"/>
          <w:b w:val="false"/>
          <w:bCs/>
          <w:color w:val="000000"/>
          <w:sz w:val="28"/>
          <w:szCs w:val="28"/>
          <w:u w:val="none"/>
        </w:rPr>
        <w:t xml:space="preserve"> «Реализация мероприятий, направленных на повышение безопасности дорожного движения за счет средств муниципального дорожного фонда города Канска» - 51 367,73 рублей.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51" w:leader="none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по</w:t>
      </w:r>
      <w:r>
        <w:rPr>
          <w:rFonts w:cs="Times New Roman" w:ascii="Times New Roman" w:hAnsi="Times New Roman"/>
          <w:sz w:val="28"/>
          <w:szCs w:val="28"/>
        </w:rPr>
        <w:t xml:space="preserve">дпрограмма 2 - </w:t>
      </w:r>
      <w:r>
        <w:rPr>
          <w:rFonts w:ascii="Times New Roman" w:hAnsi="Times New Roman"/>
          <w:sz w:val="28"/>
          <w:szCs w:val="28"/>
        </w:rPr>
        <w:t>«Реформирование и модернизация жилищно-коммунального хозяйства и повышение энергетической эффективности».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Данная подпрограмма предусматривает средства городского и краевого бюджетов для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обеспечения населения города качественными жилищно-коммунальными услугами в условиях энергосбережения и повышения энергетической эффективности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137 969 289,20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 </w:t>
      </w:r>
      <w:bookmarkStart w:id="3" w:name="_GoBack12"/>
      <w:bookmarkEnd w:id="3"/>
      <w:r>
        <w:rPr>
          <w:rFonts w:cs="Times New Roman" w:ascii="Times New Roman" w:hAnsi="Times New Roman"/>
          <w:color w:val="000000"/>
          <w:sz w:val="28"/>
          <w:szCs w:val="28"/>
        </w:rPr>
        <w:t xml:space="preserve">(2023 -                       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54 516 089,20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рублей, 2024 и 2025 года по </w:t>
      </w:r>
      <w:r>
        <w:rPr>
          <w:rFonts w:eastAsia="Calibri" w:cs="Times New Roman" w:ascii="Times New Roman" w:hAnsi="Times New Roman"/>
          <w:color w:val="000000"/>
          <w:kern w:val="0"/>
          <w:sz w:val="28"/>
          <w:szCs w:val="28"/>
          <w:lang w:val="ru-RU" w:eastAsia="en-US" w:bidi="ar-SA"/>
        </w:rPr>
        <w:t>41 726 600</w:t>
      </w:r>
      <w:r>
        <w:rPr>
          <w:rFonts w:cs="Times New Roman" w:ascii="Times New Roman" w:hAnsi="Times New Roman"/>
          <w:color w:val="000000"/>
          <w:sz w:val="28"/>
          <w:szCs w:val="28"/>
        </w:rPr>
        <w:t>,00 рублей соответственно).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bCs/>
          <w:sz w:val="28"/>
          <w:szCs w:val="28"/>
        </w:rPr>
        <w:t>По по</w:t>
      </w:r>
      <w:r>
        <w:rPr>
          <w:rFonts w:ascii="Times New Roman" w:hAnsi="Times New Roman"/>
          <w:b w:val="false"/>
          <w:bCs w:val="false"/>
          <w:sz w:val="28"/>
          <w:szCs w:val="28"/>
        </w:rPr>
        <w:t>дпрограмме 2 «Реформирование и модернизация жилищно-коммунального хозяйства и повышение энергетической эффективности» увеличение на 12 079 489,20 рублей, в том числе: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b w:val="false"/>
          <w:b w:val="false"/>
          <w:bCs w:val="false"/>
        </w:rPr>
      </w:pPr>
      <w:r>
        <w:rPr>
          <w:rFonts w:ascii="Times New Roman" w:hAnsi="Times New Roman"/>
          <w:b w:val="false"/>
          <w:bCs w:val="false"/>
          <w:sz w:val="28"/>
          <w:szCs w:val="28"/>
        </w:rPr>
        <w:t>- за счет средств краевого бюджета на 11 731 500,00 рублей;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- за сч</w:t>
      </w:r>
      <w:r>
        <w:rPr>
          <w:rFonts w:ascii="Times New Roman" w:hAnsi="Times New Roman"/>
          <w:bCs/>
          <w:sz w:val="28"/>
          <w:szCs w:val="28"/>
        </w:rPr>
        <w:t>ет средств городского бюджета на 347 989,20 рублей.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u w:val="single"/>
          <w:lang w:val="ru-RU" w:eastAsia="en-US" w:bidi="ar-SA"/>
        </w:rPr>
        <w:t>Увеличение по мероприятиям</w:t>
      </w:r>
      <w:r>
        <w:rPr>
          <w:rFonts w:eastAsia="Calibri" w:cs="Times New Roman" w:ascii="Times New Roman" w:hAnsi="Times New Roman"/>
          <w:bCs/>
          <w:color w:val="000000"/>
          <w:kern w:val="0"/>
          <w:sz w:val="28"/>
          <w:szCs w:val="28"/>
          <w:lang w:val="ru-RU" w:eastAsia="en-US" w:bidi="ar-SA"/>
        </w:rPr>
        <w:t xml:space="preserve"> «Строительство, реконструкция и содержание объектов социальной и коммунальной инфраструктуры» -           347 989,20 рублей; «Финансирование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вод» - 11 731 500,00 рублей.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overflowPunct w:val="true"/>
        <w:spacing w:lineRule="auto" w:line="240" w:before="0" w:after="0"/>
        <w:ind w:left="0" w:right="0" w:firstLine="709"/>
        <w:contextualSpacing/>
        <w:jc w:val="both"/>
        <w:textAlignment w:val="baseline"/>
        <w:rPr/>
      </w:pPr>
      <w:r>
        <w:rPr>
          <w:rFonts w:cs="Times New Roman" w:ascii="Times New Roman" w:hAnsi="Times New Roman"/>
          <w:sz w:val="28"/>
          <w:szCs w:val="28"/>
        </w:rPr>
        <w:t>подпрограмма 3 - «Обращение с твердыми бытовыми отходами на территории города». Данная подпрограмма не предусмотрена на 2023-2025 года.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993" w:leader="none"/>
          <w:tab w:val="left" w:pos="1134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подпрограмма 4 - «Благоустройство города».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Данная подпрограм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ма предусматривает средства городского, федерального и краевого бюджетов для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обеспечения комфортных условий для проживания граждан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в сумме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 xml:space="preserve">183 317 856,56 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рублей (2023 —                     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78 284 896,56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рублей, 2024 —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en-US" w:bidi="ar-SA"/>
        </w:rPr>
        <w:t>51 817 380</w:t>
      </w:r>
      <w:r>
        <w:rPr>
          <w:rFonts w:cs="Times New Roman" w:ascii="Times New Roman" w:hAnsi="Times New Roman"/>
          <w:b w:val="false"/>
          <w:bCs w:val="false"/>
          <w:color w:val="000000"/>
          <w:sz w:val="28"/>
          <w:szCs w:val="28"/>
        </w:rPr>
        <w:t>,00 рублей, 2025 — 53 215 580,00 рублей).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ascii="Times New Roman" w:hAnsi="Times New Roman"/>
          <w:b w:val="false"/>
          <w:bCs w:val="false"/>
          <w:sz w:val="28"/>
          <w:szCs w:val="28"/>
        </w:rPr>
        <w:t>По подпрограмме 4 «Благоустройство города» произошло уменьшение средств городского бюджета на 730 825,16 рублей, в том числе:</w:t>
      </w:r>
      <w:bookmarkStart w:id="4" w:name="_Hlk97279056"/>
      <w:bookmarkStart w:id="5" w:name="_Hlk98245566"/>
    </w:p>
    <w:p>
      <w:pPr>
        <w:pStyle w:val="Style21"/>
        <w:ind w:left="0" w:right="0" w:firstLine="709"/>
        <w:rPr/>
      </w:pPr>
      <w:r>
        <w:rPr>
          <w:b w:val="false"/>
          <w:bCs w:val="false"/>
          <w:sz w:val="28"/>
          <w:szCs w:val="28"/>
          <w:u w:val="single"/>
        </w:rPr>
        <w:t xml:space="preserve">Увеличение </w:t>
      </w:r>
      <w:bookmarkEnd w:id="5"/>
      <w:r>
        <w:rPr>
          <w:b w:val="false"/>
          <w:bCs w:val="false"/>
          <w:sz w:val="28"/>
          <w:szCs w:val="28"/>
          <w:u w:val="single"/>
        </w:rPr>
        <w:t>по мероприятиям</w:t>
      </w:r>
      <w:r>
        <w:rPr>
          <w:b w:val="false"/>
          <w:bCs w:val="false"/>
          <w:sz w:val="28"/>
          <w:szCs w:val="28"/>
        </w:rPr>
        <w:t xml:space="preserve"> </w:t>
      </w:r>
      <w:bookmarkEnd w:id="4"/>
      <w:r>
        <w:rPr>
          <w:b w:val="false"/>
          <w:bCs w:val="false"/>
          <w:sz w:val="28"/>
          <w:szCs w:val="28"/>
        </w:rPr>
        <w:t>«Мероприятие по организации ритуальных услуг, санитарное и эстетическое содержание кладбищ» -               2 000 000,00 рублей; «Содержание контейнерных площадок и контейнерного оборудования» - 400 000,00 рублей; «Приобретен</w:t>
      </w:r>
      <w:r>
        <w:rPr>
          <w:bCs/>
        </w:rPr>
        <w:t xml:space="preserve">ие контейнерного оборудования» - 1 </w:t>
      </w:r>
      <w:r>
        <w:rPr>
          <w:bCs/>
        </w:rPr>
        <w:t>290 784,04</w:t>
      </w:r>
      <w:r>
        <w:rPr>
          <w:bCs/>
        </w:rPr>
        <w:t xml:space="preserve"> рубл</w:t>
      </w:r>
      <w:r>
        <w:rPr>
          <w:bCs/>
        </w:rPr>
        <w:t>я</w:t>
      </w:r>
      <w:r>
        <w:rPr>
          <w:bCs/>
        </w:rPr>
        <w:t xml:space="preserve">; «Обустройство контейнерных площадок» - 500 000,00 рублей; «Проектная документация» - </w:t>
      </w:r>
      <w:r>
        <w:rPr>
          <w:bCs/>
        </w:rPr>
        <w:t>589 210,80</w:t>
      </w:r>
      <w:r>
        <w:rPr>
          <w:bCs/>
        </w:rPr>
        <w:t xml:space="preserve"> рублей.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/>
          <w:b w:val="false"/>
          <w:bCs/>
          <w:color w:val="000000"/>
          <w:sz w:val="28"/>
          <w:szCs w:val="28"/>
          <w:u w:val="single"/>
        </w:rPr>
        <w:t>Уменьшение по мероприятиям</w:t>
      </w:r>
      <w:r>
        <w:rPr>
          <w:rFonts w:cs="Times New Roman"/>
          <w:b w:val="false"/>
          <w:bCs/>
          <w:color w:val="000000"/>
          <w:sz w:val="28"/>
          <w:szCs w:val="28"/>
        </w:rPr>
        <w:t xml:space="preserve"> «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lang w:val="ru-RU" w:eastAsia="ru-RU" w:bidi="ar-SA"/>
        </w:rPr>
        <w:t>Расходы муниципального жилого фонда</w:t>
      </w:r>
      <w:r>
        <w:rPr>
          <w:rFonts w:cs="Times New Roman"/>
          <w:b w:val="false"/>
          <w:bCs/>
          <w:color w:val="000000"/>
          <w:sz w:val="28"/>
          <w:szCs w:val="28"/>
        </w:rPr>
        <w:t>» - 30 000,00 рублей; «</w:t>
      </w:r>
      <w:bookmarkStart w:id="6" w:name="_Hlk133397296"/>
      <w:r>
        <w:rPr>
          <w:rFonts w:cs="Times New Roman"/>
          <w:b w:val="false"/>
          <w:bCs/>
          <w:color w:val="000000"/>
          <w:sz w:val="28"/>
          <w:szCs w:val="28"/>
        </w:rPr>
        <w:t>Скашивание травы и дикорастущих растений</w:t>
      </w:r>
      <w:bookmarkEnd w:id="6"/>
      <w:r>
        <w:rPr>
          <w:rFonts w:cs="Times New Roman"/>
          <w:b w:val="false"/>
          <w:bCs/>
          <w:color w:val="000000"/>
          <w:sz w:val="28"/>
          <w:szCs w:val="28"/>
        </w:rPr>
        <w:t xml:space="preserve">» - </w:t>
      </w:r>
      <w:r>
        <w:rPr>
          <w:rFonts w:eastAsia="Times New Roman" w:cs="Times New Roman"/>
          <w:b w:val="false"/>
          <w:bCs/>
          <w:color w:val="000000"/>
          <w:kern w:val="0"/>
          <w:sz w:val="28"/>
          <w:szCs w:val="28"/>
          <w:lang w:val="ru-RU" w:eastAsia="ru-RU" w:bidi="ar-SA"/>
        </w:rPr>
        <w:t>180 820,00</w:t>
      </w:r>
      <w:r>
        <w:rPr>
          <w:rFonts w:cs="Times New Roman"/>
          <w:b w:val="false"/>
          <w:bCs/>
          <w:color w:val="000000"/>
          <w:sz w:val="28"/>
          <w:szCs w:val="28"/>
        </w:rPr>
        <w:t xml:space="preserve"> рублей; «Благоустройство общественных территорий» - 4 900 000,00 рублей.</w:t>
      </w:r>
    </w:p>
    <w:p>
      <w:pPr>
        <w:pStyle w:val="ListParagraph"/>
        <w:tabs>
          <w:tab w:val="clear" w:pos="720"/>
          <w:tab w:val="left" w:pos="851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Отдельные мероприятия:</w:t>
      </w:r>
    </w:p>
    <w:p>
      <w:pPr>
        <w:pStyle w:val="ListParagraph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contextualSpacing/>
        <w:jc w:val="both"/>
        <w:rPr/>
      </w:pP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 xml:space="preserve">Мероприятие 1 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lang w:eastAsia="zh-CN"/>
        </w:rPr>
        <w:t>«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</w:rPr>
        <w:t>Выполнение отдельных государственных полномочий по организации проведения мероприятий по отлову и содержанию безнадзорных животных</w:t>
      </w:r>
      <w:r>
        <w:rPr>
          <w:rFonts w:cs="Times New Roman" w:ascii="Times New Roman" w:hAnsi="Times New Roman"/>
          <w:b w:val="false"/>
          <w:bCs/>
          <w:color w:val="000000"/>
          <w:sz w:val="28"/>
          <w:szCs w:val="28"/>
          <w:lang w:eastAsia="zh-CN"/>
        </w:rPr>
        <w:t>». Общий объем средств на 2023-2025 годы составляет 7 175 800,00 рублей (2023 - 2 446 800,00 рублей, 2024-2025 по           2 364 500,00 рублей). Изменений по отдельному мероприятию не произошло.</w:t>
      </w:r>
    </w:p>
    <w:p>
      <w:pPr>
        <w:pStyle w:val="Style21"/>
        <w:ind w:right="-143" w:firstLine="709"/>
        <w:rPr/>
      </w:pPr>
      <w:bookmarkStart w:id="7" w:name="__DdeLink__727_1047139294"/>
      <w:bookmarkStart w:id="8" w:name="_Hlk972826671"/>
      <w:bookmarkEnd w:id="8"/>
      <w:r>
        <w:rPr>
          <w:rFonts w:cs="Times New Roman"/>
          <w:b w:val="false"/>
          <w:bCs w:val="false"/>
          <w:sz w:val="28"/>
          <w:szCs w:val="28"/>
        </w:rPr>
        <w:t>Мероприятие</w:t>
      </w:r>
      <w:bookmarkEnd w:id="7"/>
      <w:r>
        <w:rPr>
          <w:rFonts w:cs="Times New Roman"/>
          <w:b w:val="false"/>
          <w:bCs w:val="false"/>
          <w:sz w:val="28"/>
          <w:szCs w:val="28"/>
        </w:rPr>
        <w:t xml:space="preserve"> 2 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>«</w:t>
      </w:r>
      <w:r>
        <w:rPr>
          <w:rFonts w:cs="Times New Roman"/>
          <w:b w:val="false"/>
          <w:bCs w:val="false"/>
          <w:sz w:val="28"/>
          <w:szCs w:val="28"/>
        </w:rPr>
        <w:t>Обеспечение системы управления муниципальной программой</w:t>
      </w:r>
      <w:r>
        <w:rPr>
          <w:rFonts w:cs="Times New Roman"/>
          <w:b w:val="false"/>
          <w:bCs w:val="false"/>
          <w:sz w:val="28"/>
          <w:szCs w:val="28"/>
          <w:lang w:eastAsia="zh-CN"/>
        </w:rPr>
        <w:t xml:space="preserve">». </w:t>
      </w:r>
      <w:r>
        <w:rPr>
          <w:rFonts w:cs="Times New Roman"/>
          <w:b w:val="false"/>
          <w:bCs/>
          <w:color w:val="000000"/>
          <w:sz w:val="28"/>
          <w:szCs w:val="28"/>
          <w:lang w:eastAsia="zh-CN"/>
        </w:rPr>
        <w:t xml:space="preserve">Общий объем средств на 2023-2025 годы составляет                 116 149 874,96 рубля (2023 — 39 443 754,96 рубля, 2024-2025 по 38 353 060,00 рублей). </w:t>
      </w:r>
      <w:r>
        <w:rPr>
          <w:b w:val="false"/>
          <w:bCs w:val="false"/>
          <w:szCs w:val="28"/>
        </w:rPr>
        <w:t xml:space="preserve">Увеличение расходов </w:t>
      </w:r>
      <w:bookmarkStart w:id="9" w:name="_Hlk127264854"/>
      <w:r>
        <w:rPr>
          <w:bCs/>
          <w:szCs w:val="28"/>
        </w:rPr>
        <w:t xml:space="preserve"> </w:t>
      </w:r>
      <w:bookmarkEnd w:id="9"/>
      <w:r>
        <w:rPr>
          <w:b w:val="false"/>
          <w:bCs/>
          <w:szCs w:val="28"/>
        </w:rPr>
        <w:t xml:space="preserve">за счет средств городского бюджета на            382 835,96 </w:t>
      </w:r>
      <w:r>
        <w:rPr>
          <w:bCs/>
          <w:szCs w:val="28"/>
        </w:rPr>
        <w:t>рублей</w:t>
      </w:r>
      <w:r>
        <w:rPr>
          <w:b w:val="false"/>
          <w:bCs/>
          <w:szCs w:val="28"/>
        </w:rPr>
        <w:t>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right="-143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b w:val="false"/>
          <w:bCs w:val="false"/>
          <w:sz w:val="28"/>
          <w:szCs w:val="28"/>
        </w:rPr>
        <w:t>Мероприятие 3 «Мероприятия в области обеспечения капитального ремонта, реконструкции и строительства гидротехнических сооружений» не предусмотрено.</w:t>
      </w:r>
    </w:p>
    <w:p>
      <w:pPr>
        <w:pStyle w:val="Style21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b w:val="false"/>
          <w:b w:val="false"/>
          <w:bCs w:val="false"/>
          <w:i/>
          <w:i/>
          <w:iCs/>
          <w:sz w:val="27"/>
          <w:szCs w:val="27"/>
        </w:rPr>
      </w:pPr>
      <w:r>
        <w:rPr>
          <w:rFonts w:cs="Times New Roman"/>
          <w:b w:val="false"/>
          <w:bCs w:val="false"/>
          <w:i w:val="false"/>
          <w:iCs w:val="false"/>
          <w:sz w:val="28"/>
          <w:szCs w:val="28"/>
        </w:rPr>
        <w:t>По причине изменения бюджетных ассигнований внесены изменения в целевые показатели муниципальной программы с указанием планируемых к достижению значений в результате реализации муниципальной программы и показатели результативности.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228" w:after="228"/>
        <w:ind w:left="0" w:right="0" w:firstLine="709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>Выводы и предложения по результатам проведенной экспертизы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Цель и задачи муниципальной программы аналогичны целям и задачам, предложенным для муниципальных программ Методическими рекомендациями по подготовке государственных и муниципальных программ.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Муниципальная программа предполагает реализацию мероприятий приоритетного проекта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основании вышеизложенного Контрольно-счетная комиссия рекомендует: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Утвердить проект программы «Городское хозяйство».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/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ind w:left="0" w:righ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Председатель</w:t>
      </w:r>
      <w:r>
        <w:rPr>
          <w:rFonts w:cs="Times New Roman" w:ascii="Times New Roman" w:hAnsi="Times New Roman"/>
          <w:sz w:val="28"/>
          <w:szCs w:val="28"/>
        </w:rPr>
        <w:t xml:space="preserve"> Контрольно-счетной 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комиссии города Канска                                                                Е.В.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en-US" w:bidi="ar-SA"/>
        </w:rPr>
        <w:t>Парфенова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Данилова Екатерина Владимировна</w:t>
      </w:r>
    </w:p>
    <w:p>
      <w:pPr>
        <w:pStyle w:val="Normal"/>
        <w:tabs>
          <w:tab w:val="clear" w:pos="720"/>
          <w:tab w:val="left" w:pos="993" w:leader="none"/>
        </w:tabs>
        <w:spacing w:lineRule="auto" w:line="240" w:before="0" w:after="0"/>
        <w:jc w:val="both"/>
        <w:rPr/>
      </w:pPr>
      <w:hyperlink r:id="rId2">
        <w:r>
          <w:rPr>
            <w:rStyle w:val="Style"/>
            <w:rFonts w:cs="Times New Roman" w:ascii="Times New Roman" w:hAnsi="Times New Roman"/>
            <w:sz w:val="20"/>
            <w:szCs w:val="20"/>
          </w:rPr>
          <w:t>8(39161) 3-28-08</w:t>
        </w:r>
      </w:hyperlink>
    </w:p>
    <w:sectPr>
      <w:headerReference w:type="default" r:id="rId3"/>
      <w:footerReference w:type="default" r:id="rId4"/>
      <w:footerReference w:type="first" r:id="rId5"/>
      <w:type w:val="nextPage"/>
      <w:pgSz w:w="11906" w:h="16838"/>
      <w:pgMar w:left="1701" w:right="850" w:header="1134" w:top="1670" w:footer="709" w:bottom="1134" w:gutter="0"/>
      <w:pgNumType w:start="1"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jc w:val="center"/>
      <w:rPr>
        <w:rFonts w:ascii="Times New Roman" w:hAnsi="Times New Roman" w:cs="Times New Roman"/>
      </w:rPr>
    </w:pPr>
    <w:r>
      <w:rPr>
        <w:rFonts w:cs="Times New Roman" w:ascii="Times New Roman" w:hAnsi="Times New Roman"/>
      </w:rPr>
    </w:r>
  </w:p>
  <w:p>
    <w:pPr>
      <w:pStyle w:val="Style27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7"/>
      <w:tabs>
        <w:tab w:val="left" w:pos="4515" w:leader="none"/>
        <w:tab w:val="center" w:pos="4677" w:leader="none"/>
        <w:tab w:val="right" w:pos="9355" w:leader="none"/>
      </w:tabs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tab/>
      <w:tab/>
    </w:r>
  </w:p>
  <w:p>
    <w:pPr>
      <w:pStyle w:val="Style27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jc w:val="center"/>
      <w:rPr/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 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>7</w:t>
    </w:r>
    <w:r>
      <w:rPr>
        <w:rFonts w:ascii="Times New Roman" w:hAnsi="Times New Roman"/>
      </w:rPr>
      <w:fldChar w:fldCharType="end"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7"/>
        <w:b w:val="false"/>
        <w:rFonts w:cs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rFonts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  <w:rFonts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  <w:rFonts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  <w:rFonts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  <w:rFonts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rFonts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  <w:rFonts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  <w:rFonts w:cs="Wingdings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false"/>
        <w:bCs w:val="false"/>
        <w:rFonts w:cs="OpenSymbol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  <w:b w:val="false"/>
        <w:bCs w:val="false"/>
        <w:rFonts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b w:val="false"/>
        <w:bCs w:val="false"/>
        <w:rFonts w:cs="OpenSymbol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20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0"/>
        <w:szCs w:val="22"/>
        <w:lang w:val="ru-RU" w:eastAsia="en-US" w:bidi="ar-SA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bidi w:val="0"/>
      <w:spacing w:lineRule="auto" w:line="259" w:before="0" w:after="160"/>
      <w:jc w:val="left"/>
    </w:pPr>
    <w:rPr>
      <w:rFonts w:ascii="Calibri" w:hAnsi="Calibri" w:eastAsia="Calibri" w:cs="Tahoma"/>
      <w:color w:val="auto"/>
      <w:kern w:val="0"/>
      <w:sz w:val="22"/>
      <w:szCs w:val="22"/>
      <w:lang w:val="ru-RU" w:eastAsia="en-US" w:bidi="ar-SA"/>
    </w:rPr>
  </w:style>
  <w:style w:type="character" w:styleId="DefaultParagraphFont">
    <w:name w:val="Default Paragraph Font"/>
    <w:qFormat/>
    <w:rPr/>
  </w:style>
  <w:style w:type="character" w:styleId="Style14">
    <w:name w:val="Верхний колонтитул Знак"/>
    <w:basedOn w:val="DefaultParagraphFont"/>
    <w:qFormat/>
    <w:rPr/>
  </w:style>
  <w:style w:type="character" w:styleId="Style15">
    <w:name w:val="Нижний колонтитул Знак"/>
    <w:basedOn w:val="DefaultParagraphFont"/>
    <w:qFormat/>
    <w:rPr/>
  </w:style>
  <w:style w:type="character" w:styleId="Style16">
    <w:name w:val="Текст выноски Знак"/>
    <w:basedOn w:val="DefaultParagraphFont"/>
    <w:qFormat/>
    <w:rPr>
      <w:rFonts w:ascii="Segoe UI" w:hAnsi="Segoe UI" w:cs="Segoe UI"/>
      <w:sz w:val="18"/>
      <w:szCs w:val="18"/>
    </w:rPr>
  </w:style>
  <w:style w:type="character" w:styleId="Style17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Style18">
    <w:name w:val="Интернет-ссылка"/>
    <w:rPr>
      <w:color w:val="000080"/>
      <w:u w:val="single"/>
      <w:lang w:val="zxx" w:eastAsia="zxx" w:bidi="zxx"/>
    </w:rPr>
  </w:style>
  <w:style w:type="character" w:styleId="Style19">
    <w:name w:val="Маркеры списка"/>
    <w:qFormat/>
    <w:rPr>
      <w:rFonts w:ascii="OpenSymbol" w:hAnsi="OpenSymbol" w:eastAsia="OpenSymbol" w:cs="OpenSymbol"/>
      <w:b w:val="false"/>
      <w:bCs w:val="false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Head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7">
    <w:name w:val="Footer"/>
    <w:basedOn w:val="Normal"/>
    <w:pPr>
      <w:tabs>
        <w:tab w:val="clear" w:pos="720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qFormat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before="0" w:after="160"/>
      <w:ind w:left="720" w:right="0" w:hanging="0"/>
      <w:contextualSpacing/>
    </w:pPr>
    <w:rPr/>
  </w:style>
  <w:style w:type="paragraph" w:styleId="ConsPlusCell">
    <w:name w:val="ConsPlusCell"/>
    <w:qFormat/>
    <w:pPr>
      <w:widowControl/>
      <w:overflowPunct w:val="false"/>
      <w:bidi w:val="0"/>
      <w:spacing w:lineRule="auto" w:line="240" w:before="0" w:after="0"/>
      <w:jc w:val="left"/>
    </w:pPr>
    <w:rPr>
      <w:rFonts w:ascii="Arial" w:hAnsi="Arial" w:eastAsia="Calibri" w:cs="Arial"/>
      <w:color w:val="auto"/>
      <w:kern w:val="0"/>
      <w:sz w:val="2"/>
      <w:szCs w:val="2"/>
      <w:lang w:val="ru-RU" w:eastAsia="ru-RU" w:bidi="ar-SA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E413A60353FEA5670CC4712870F4D595D86B1D01B6110A2367F9A12BBE0CF41EFCDE223368A92F3D04C1722E03D6210153F0AB938995856133G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numbering" Target="numbering.xml"/><Relationship Id="rId7" Type="http://schemas.openxmlformats.org/officeDocument/2006/relationships/fontTable" Target="fontTable.xml"/><Relationship Id="rId8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2917</TotalTime>
  <Application>LibreOffice/6.3.6.2$Windows_x86 LibreOffice_project/2196df99b074d8a661f4036fca8fa0cbfa33a497</Application>
  <Pages>7</Pages>
  <Words>1694</Words>
  <Characters>12443</Characters>
  <CharactersWithSpaces>14413</CharactersWithSpaces>
  <Paragraphs>92</Paragraphs>
  <Company>КонсультантПлюс Версия 4020.00.61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2021-04-28T13:55:00Z</dcterms:created>
  <dc:creator>RePack by Diakov</dc:creator>
  <dc:description/>
  <dc:language>ru-RU</dc:language>
  <cp:lastModifiedBy/>
  <cp:lastPrinted>2023-05-03T10:38:54Z</cp:lastPrinted>
  <dcterms:modified xsi:type="dcterms:W3CDTF">2023-05-05T11:45:32Z</dcterms:modified>
  <cp:revision>189</cp:revision>
  <dc:subject/>
  <dc:title>Распоряжение Правительства РФ от 17.11.2008 N 1662-р(ред. от 28.09.2018)&lt;О Концепции долгосрочного социально-экономического развития Российской Федерации на период до 2020 года&gt;(вместе с "Концепцией долгосрочного социально-экономического развития Российской Федерации на период до 2020 года")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КонсультантПлюс Версия 4020.00.61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